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shd w:val="clear" w:color="auto" w:fill="auto"/>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Pr="0071445F"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11A7DF6E" w14:textId="77777777"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TERMES DE RÉFÉRENCE </w:t>
      </w:r>
    </w:p>
    <w:p w14:paraId="7033428B" w14:textId="2856E1C3"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B71F7D">
        <w:rPr>
          <w:rFonts w:cstheme="minorHAnsi"/>
          <w:b/>
          <w:sz w:val="28"/>
          <w:szCs w:val="26"/>
        </w:rPr>
        <w:t>07</w:t>
      </w:r>
      <w:r w:rsidR="00333424">
        <w:rPr>
          <w:rFonts w:cstheme="minorHAnsi"/>
          <w:b/>
          <w:sz w:val="28"/>
          <w:szCs w:val="26"/>
        </w:rPr>
        <w:t xml:space="preserve"> </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5A043CC7"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333424">
        <w:rPr>
          <w:rFonts w:cstheme="minorHAnsi"/>
          <w:b/>
          <w:sz w:val="28"/>
          <w:szCs w:val="26"/>
        </w:rPr>
        <w:t xml:space="preserve">bureau de </w:t>
      </w:r>
      <w:r w:rsidR="003F4DE2">
        <w:rPr>
          <w:rFonts w:cstheme="minorHAnsi"/>
          <w:b/>
          <w:sz w:val="28"/>
          <w:szCs w:val="26"/>
        </w:rPr>
        <w:t>formations</w:t>
      </w:r>
      <w:r w:rsidRPr="00AD7331">
        <w:rPr>
          <w:rFonts w:cstheme="minorHAnsi"/>
          <w:b/>
          <w:sz w:val="28"/>
          <w:szCs w:val="26"/>
        </w:rPr>
        <w:t xml:space="preserve"> 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03A79836" w14:textId="48E1F7B1" w:rsidR="00D00528" w:rsidRPr="00CB11DD" w:rsidRDefault="003F4DE2" w:rsidP="00CB11DD">
      <w:pPr>
        <w:jc w:val="center"/>
        <w:rPr>
          <w:rFonts w:cstheme="minorHAnsi"/>
          <w:b/>
          <w:sz w:val="28"/>
          <w:szCs w:val="26"/>
        </w:rPr>
      </w:pPr>
      <w:r w:rsidRPr="00CB11DD">
        <w:rPr>
          <w:rFonts w:cstheme="minorHAnsi"/>
          <w:b/>
          <w:sz w:val="28"/>
          <w:szCs w:val="26"/>
        </w:rPr>
        <w:t>« </w:t>
      </w:r>
      <w:r w:rsidR="00CB11DD" w:rsidRPr="00CB11DD">
        <w:rPr>
          <w:rFonts w:cstheme="minorHAnsi"/>
          <w:b/>
          <w:sz w:val="28"/>
          <w:szCs w:val="26"/>
        </w:rPr>
        <w:t>Former les membres des établissements universitaires affiliés à l’Université de Kairouan aux fondements et aux outils de la pédagogie du projet »</w:t>
      </w: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3D268820"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Pr="00830E89"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44838430" w14:textId="2F35B533" w:rsidR="00AA1A1E" w:rsidRDefault="003F4DE2" w:rsidP="003F4DE2">
      <w:pPr>
        <w:jc w:val="center"/>
        <w:rPr>
          <w:rFonts w:asciiTheme="majorBidi" w:hAnsiTheme="majorBidi" w:cstheme="majorBidi"/>
          <w:sz w:val="24"/>
          <w:szCs w:val="24"/>
        </w:rPr>
      </w:pPr>
      <w:r w:rsidRPr="004437DC">
        <w:rPr>
          <w:rFonts w:asciiTheme="majorBidi" w:hAnsiTheme="majorBidi" w:cstheme="majorBidi"/>
          <w:b/>
          <w:bCs/>
          <w:sz w:val="24"/>
          <w:szCs w:val="24"/>
        </w:rPr>
        <w:t>A.2.1.1.2</w:t>
      </w:r>
      <w:r w:rsidRPr="004437DC">
        <w:rPr>
          <w:rFonts w:asciiTheme="majorBidi" w:hAnsiTheme="majorBidi" w:cstheme="majorBidi"/>
          <w:sz w:val="24"/>
          <w:szCs w:val="24"/>
        </w:rPr>
        <w:t> :</w:t>
      </w:r>
      <w:r>
        <w:rPr>
          <w:rFonts w:asciiTheme="majorBidi" w:hAnsiTheme="majorBidi" w:cstheme="majorBidi"/>
          <w:sz w:val="24"/>
          <w:szCs w:val="24"/>
        </w:rPr>
        <w:t xml:space="preserve"> </w:t>
      </w:r>
      <w:r w:rsidRPr="004437DC">
        <w:rPr>
          <w:rFonts w:asciiTheme="majorBidi" w:hAnsiTheme="majorBidi" w:cstheme="majorBidi"/>
          <w:sz w:val="24"/>
          <w:szCs w:val="24"/>
        </w:rPr>
        <w:t>Créer et institutionnaliser des cellules dans des institutions</w:t>
      </w:r>
      <w:r>
        <w:rPr>
          <w:rFonts w:asciiTheme="majorBidi" w:hAnsiTheme="majorBidi" w:cstheme="majorBidi"/>
          <w:sz w:val="24"/>
          <w:szCs w:val="24"/>
        </w:rPr>
        <w:t>, j</w:t>
      </w:r>
      <w:r w:rsidRPr="004437DC">
        <w:rPr>
          <w:rFonts w:asciiTheme="majorBidi" w:hAnsiTheme="majorBidi" w:cstheme="majorBidi"/>
          <w:sz w:val="24"/>
          <w:szCs w:val="24"/>
        </w:rPr>
        <w:t>ournée de formation</w:t>
      </w:r>
      <w:r>
        <w:rPr>
          <w:rFonts w:asciiTheme="majorBidi" w:hAnsiTheme="majorBidi" w:cstheme="majorBidi"/>
          <w:sz w:val="24"/>
          <w:szCs w:val="24"/>
        </w:rPr>
        <w:t xml:space="preserve"> : </w:t>
      </w:r>
      <w:r w:rsidRPr="004437DC">
        <w:rPr>
          <w:rFonts w:asciiTheme="majorBidi" w:hAnsiTheme="majorBidi" w:cstheme="majorBidi"/>
          <w:sz w:val="24"/>
          <w:szCs w:val="24"/>
        </w:rPr>
        <w:t>"Pédagogie du projet"</w:t>
      </w:r>
    </w:p>
    <w:p w14:paraId="67DE98D6" w14:textId="77777777" w:rsidR="003F4DE2" w:rsidRDefault="003F4DE2" w:rsidP="003F4DE2">
      <w:pPr>
        <w:jc w:val="center"/>
        <w:rPr>
          <w:rFonts w:asciiTheme="majorBidi" w:hAnsiTheme="majorBidi" w:cstheme="majorBidi"/>
          <w:sz w:val="24"/>
          <w:szCs w:val="24"/>
        </w:rPr>
      </w:pPr>
    </w:p>
    <w:p w14:paraId="71EF15D0" w14:textId="7E02E070" w:rsidR="003F4DE2" w:rsidRPr="003F4DE2" w:rsidRDefault="003F4DE2" w:rsidP="003F4DE2">
      <w:pPr>
        <w:jc w:val="center"/>
        <w:rPr>
          <w:rFonts w:asciiTheme="majorBidi" w:hAnsiTheme="majorBidi" w:cstheme="majorBidi"/>
          <w:sz w:val="24"/>
          <w:szCs w:val="24"/>
        </w:rPr>
      </w:pPr>
      <w:r>
        <w:rPr>
          <w:rFonts w:asciiTheme="majorBidi" w:hAnsiTheme="majorBidi" w:cstheme="majorBidi"/>
          <w:sz w:val="24"/>
          <w:szCs w:val="24"/>
        </w:rPr>
        <w:t>Juin 2025.</w:t>
      </w:r>
    </w:p>
    <w:p w14:paraId="3D801CAB" w14:textId="77777777" w:rsidR="003F4DE2" w:rsidRDefault="003F4DE2" w:rsidP="003F4DE2">
      <w:pPr>
        <w:jc w:val="center"/>
        <w:rPr>
          <w:rFonts w:asciiTheme="majorBidi" w:hAnsiTheme="majorBidi" w:cstheme="majorBidi"/>
          <w:sz w:val="24"/>
          <w:szCs w:val="24"/>
        </w:rPr>
      </w:pPr>
    </w:p>
    <w:p w14:paraId="6F4FAC74" w14:textId="77777777" w:rsidR="003F4DE2" w:rsidRDefault="003F4DE2" w:rsidP="003F4DE2">
      <w:pPr>
        <w:jc w:val="center"/>
        <w:rPr>
          <w:rFonts w:asciiTheme="majorBidi" w:hAnsiTheme="majorBidi" w:cstheme="majorBidi"/>
          <w:sz w:val="24"/>
          <w:szCs w:val="24"/>
        </w:rPr>
      </w:pPr>
    </w:p>
    <w:p w14:paraId="7F3A55C1" w14:textId="77777777" w:rsidR="003F4DE2" w:rsidRDefault="003F4DE2" w:rsidP="003F4DE2">
      <w:pPr>
        <w:jc w:val="center"/>
        <w:rPr>
          <w:rFonts w:asciiTheme="majorBidi" w:hAnsiTheme="majorBidi" w:cstheme="majorBidi"/>
          <w:sz w:val="24"/>
          <w:szCs w:val="24"/>
        </w:rPr>
      </w:pPr>
    </w:p>
    <w:p w14:paraId="0F88352E" w14:textId="77777777" w:rsidR="003F4DE2" w:rsidRDefault="003F4DE2" w:rsidP="003F4DE2">
      <w:pPr>
        <w:jc w:val="center"/>
        <w:rPr>
          <w:rFonts w:asciiTheme="majorBidi" w:hAnsiTheme="majorBidi" w:cstheme="majorBidi"/>
          <w:sz w:val="24"/>
          <w:szCs w:val="24"/>
        </w:rPr>
      </w:pPr>
    </w:p>
    <w:p w14:paraId="2408ECCE" w14:textId="77777777" w:rsidR="003F4DE2" w:rsidRPr="003F4DE2" w:rsidRDefault="003F4DE2" w:rsidP="003F4DE2">
      <w:pPr>
        <w:jc w:val="center"/>
        <w:rPr>
          <w:rFonts w:cstheme="minorHAnsi"/>
          <w:b/>
          <w:bCs/>
          <w:i/>
          <w:sz w:val="32"/>
          <w:szCs w:val="36"/>
        </w:rPr>
      </w:pP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AE5E1F" w:rsidRDefault="00442220" w:rsidP="00D65214">
          <w:pPr>
            <w:spacing w:line="240" w:lineRule="auto"/>
            <w:jc w:val="center"/>
            <w:rPr>
              <w:rFonts w:asciiTheme="minorHAnsi" w:hAnsiTheme="minorHAnsi" w:cstheme="minorHAnsi"/>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AE5E1F" w:rsidRDefault="0082433A" w:rsidP="00D65214">
          <w:pPr>
            <w:spacing w:line="240" w:lineRule="auto"/>
            <w:jc w:val="center"/>
            <w:rPr>
              <w:rFonts w:asciiTheme="minorHAnsi" w:hAnsiTheme="minorHAnsi" w:cstheme="minorHAnsi"/>
              <w:color w:val="000000" w:themeColor="text1"/>
              <w:sz w:val="40"/>
              <w:szCs w:val="36"/>
            </w:rPr>
          </w:pPr>
        </w:p>
        <w:p w14:paraId="3D4E753B" w14:textId="2F9AB5E8" w:rsidR="002D269A" w:rsidRDefault="00C96BA8">
          <w:pPr>
            <w:pStyle w:val="TM1"/>
            <w:rPr>
              <w:rFonts w:asciiTheme="minorHAnsi" w:eastAsiaTheme="minorEastAsia" w:hAnsiTheme="minorHAnsi" w:cstheme="minorBidi"/>
              <w:b w:val="0"/>
              <w:noProof/>
              <w:kern w:val="2"/>
              <w:sz w:val="24"/>
              <w:szCs w:val="24"/>
              <w:lang w:eastAsia="fr-FR"/>
              <w14:ligatures w14:val="standardContextual"/>
            </w:rPr>
          </w:pPr>
          <w:r w:rsidRPr="00AE5E1F">
            <w:rPr>
              <w:b w:val="0"/>
            </w:rPr>
            <w:fldChar w:fldCharType="begin"/>
          </w:r>
          <w:r w:rsidR="00442220" w:rsidRPr="00AE5E1F">
            <w:rPr>
              <w:b w:val="0"/>
            </w:rPr>
            <w:instrText xml:space="preserve"> TOC \o "1-3" \h \z \u </w:instrText>
          </w:r>
          <w:r w:rsidRPr="00AE5E1F">
            <w:rPr>
              <w:b w:val="0"/>
            </w:rPr>
            <w:fldChar w:fldCharType="separate"/>
          </w:r>
          <w:hyperlink w:anchor="_Toc199170169" w:history="1">
            <w:r w:rsidR="002D269A" w:rsidRPr="00D65CF5">
              <w:rPr>
                <w:rStyle w:val="Lienhypertexte"/>
                <w:noProof/>
              </w:rPr>
              <w:t>1.</w:t>
            </w:r>
            <w:r w:rsidR="002D269A">
              <w:rPr>
                <w:rFonts w:asciiTheme="minorHAnsi" w:eastAsiaTheme="minorEastAsia" w:hAnsiTheme="minorHAnsi" w:cstheme="minorBidi"/>
                <w:b w:val="0"/>
                <w:noProof/>
                <w:kern w:val="2"/>
                <w:sz w:val="24"/>
                <w:szCs w:val="24"/>
                <w:lang w:eastAsia="fr-FR"/>
                <w14:ligatures w14:val="standardContextual"/>
              </w:rPr>
              <w:tab/>
            </w:r>
            <w:r w:rsidR="002D269A" w:rsidRPr="00D65CF5">
              <w:rPr>
                <w:rStyle w:val="Lienhypertexte"/>
                <w:noProof/>
              </w:rPr>
              <w:t>RÉSUMÉ EXÉCUTIF DES TERMES DE RÉFÉRENCE</w:t>
            </w:r>
            <w:r w:rsidR="002D269A">
              <w:rPr>
                <w:noProof/>
                <w:webHidden/>
              </w:rPr>
              <w:tab/>
            </w:r>
            <w:r w:rsidR="002D269A">
              <w:rPr>
                <w:noProof/>
                <w:webHidden/>
              </w:rPr>
              <w:fldChar w:fldCharType="begin"/>
            </w:r>
            <w:r w:rsidR="002D269A">
              <w:rPr>
                <w:noProof/>
                <w:webHidden/>
              </w:rPr>
              <w:instrText xml:space="preserve"> PAGEREF _Toc199170169 \h </w:instrText>
            </w:r>
            <w:r w:rsidR="002D269A">
              <w:rPr>
                <w:noProof/>
                <w:webHidden/>
              </w:rPr>
            </w:r>
            <w:r w:rsidR="002D269A">
              <w:rPr>
                <w:noProof/>
                <w:webHidden/>
              </w:rPr>
              <w:fldChar w:fldCharType="separate"/>
            </w:r>
            <w:r w:rsidR="002D269A">
              <w:rPr>
                <w:noProof/>
                <w:webHidden/>
              </w:rPr>
              <w:t>1</w:t>
            </w:r>
            <w:r w:rsidR="002D269A">
              <w:rPr>
                <w:noProof/>
                <w:webHidden/>
              </w:rPr>
              <w:fldChar w:fldCharType="end"/>
            </w:r>
          </w:hyperlink>
        </w:p>
        <w:p w14:paraId="05F43B1E" w14:textId="5B5E0237"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0" w:history="1">
            <w:r w:rsidRPr="00D65CF5">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CONTEXTE DE L’ACTION</w:t>
            </w:r>
            <w:r>
              <w:rPr>
                <w:noProof/>
                <w:webHidden/>
              </w:rPr>
              <w:tab/>
            </w:r>
            <w:r>
              <w:rPr>
                <w:noProof/>
                <w:webHidden/>
              </w:rPr>
              <w:fldChar w:fldCharType="begin"/>
            </w:r>
            <w:r>
              <w:rPr>
                <w:noProof/>
                <w:webHidden/>
              </w:rPr>
              <w:instrText xml:space="preserve"> PAGEREF _Toc199170170 \h </w:instrText>
            </w:r>
            <w:r>
              <w:rPr>
                <w:noProof/>
                <w:webHidden/>
              </w:rPr>
            </w:r>
            <w:r>
              <w:rPr>
                <w:noProof/>
                <w:webHidden/>
              </w:rPr>
              <w:fldChar w:fldCharType="separate"/>
            </w:r>
            <w:r>
              <w:rPr>
                <w:noProof/>
                <w:webHidden/>
              </w:rPr>
              <w:t>1</w:t>
            </w:r>
            <w:r>
              <w:rPr>
                <w:noProof/>
                <w:webHidden/>
              </w:rPr>
              <w:fldChar w:fldCharType="end"/>
            </w:r>
          </w:hyperlink>
        </w:p>
        <w:p w14:paraId="058CA9D8" w14:textId="2D01C6CA"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1" w:history="1">
            <w:r w:rsidRPr="00D65CF5">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OBJECTIFS ET RESULTATS ESCOMPTES DE LA MISSION</w:t>
            </w:r>
            <w:r>
              <w:rPr>
                <w:noProof/>
                <w:webHidden/>
              </w:rPr>
              <w:tab/>
            </w:r>
            <w:r>
              <w:rPr>
                <w:noProof/>
                <w:webHidden/>
              </w:rPr>
              <w:fldChar w:fldCharType="begin"/>
            </w:r>
            <w:r>
              <w:rPr>
                <w:noProof/>
                <w:webHidden/>
              </w:rPr>
              <w:instrText xml:space="preserve"> PAGEREF _Toc199170171 \h </w:instrText>
            </w:r>
            <w:r>
              <w:rPr>
                <w:noProof/>
                <w:webHidden/>
              </w:rPr>
            </w:r>
            <w:r>
              <w:rPr>
                <w:noProof/>
                <w:webHidden/>
              </w:rPr>
              <w:fldChar w:fldCharType="separate"/>
            </w:r>
            <w:r>
              <w:rPr>
                <w:noProof/>
                <w:webHidden/>
              </w:rPr>
              <w:t>2</w:t>
            </w:r>
            <w:r>
              <w:rPr>
                <w:noProof/>
                <w:webHidden/>
              </w:rPr>
              <w:fldChar w:fldCharType="end"/>
            </w:r>
          </w:hyperlink>
        </w:p>
        <w:p w14:paraId="005C82F0" w14:textId="5F1C20BC"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2" w:history="1">
            <w:r w:rsidRPr="00D65CF5">
              <w:rPr>
                <w:rStyle w:val="Lienhypertexte"/>
                <w:noProof/>
              </w:rPr>
              <w:t>4.</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BENEFICIAIRES DE LA MISSION</w:t>
            </w:r>
            <w:r>
              <w:rPr>
                <w:noProof/>
                <w:webHidden/>
              </w:rPr>
              <w:tab/>
            </w:r>
            <w:r>
              <w:rPr>
                <w:noProof/>
                <w:webHidden/>
              </w:rPr>
              <w:fldChar w:fldCharType="begin"/>
            </w:r>
            <w:r>
              <w:rPr>
                <w:noProof/>
                <w:webHidden/>
              </w:rPr>
              <w:instrText xml:space="preserve"> PAGEREF _Toc199170172 \h </w:instrText>
            </w:r>
            <w:r>
              <w:rPr>
                <w:noProof/>
                <w:webHidden/>
              </w:rPr>
            </w:r>
            <w:r>
              <w:rPr>
                <w:noProof/>
                <w:webHidden/>
              </w:rPr>
              <w:fldChar w:fldCharType="separate"/>
            </w:r>
            <w:r>
              <w:rPr>
                <w:noProof/>
                <w:webHidden/>
              </w:rPr>
              <w:t>4</w:t>
            </w:r>
            <w:r>
              <w:rPr>
                <w:noProof/>
                <w:webHidden/>
              </w:rPr>
              <w:fldChar w:fldCharType="end"/>
            </w:r>
          </w:hyperlink>
        </w:p>
        <w:p w14:paraId="7817DEE4" w14:textId="330911DB"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3" w:history="1">
            <w:r w:rsidRPr="00D65CF5">
              <w:rPr>
                <w:rStyle w:val="Lienhypertexte"/>
                <w:noProof/>
              </w:rPr>
              <w:t>5.</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ACTIVITES A REALISER</w:t>
            </w:r>
            <w:r>
              <w:rPr>
                <w:noProof/>
                <w:webHidden/>
              </w:rPr>
              <w:tab/>
            </w:r>
            <w:r>
              <w:rPr>
                <w:noProof/>
                <w:webHidden/>
              </w:rPr>
              <w:fldChar w:fldCharType="begin"/>
            </w:r>
            <w:r>
              <w:rPr>
                <w:noProof/>
                <w:webHidden/>
              </w:rPr>
              <w:instrText xml:space="preserve"> PAGEREF _Toc199170173 \h </w:instrText>
            </w:r>
            <w:r>
              <w:rPr>
                <w:noProof/>
                <w:webHidden/>
              </w:rPr>
            </w:r>
            <w:r>
              <w:rPr>
                <w:noProof/>
                <w:webHidden/>
              </w:rPr>
              <w:fldChar w:fldCharType="separate"/>
            </w:r>
            <w:r>
              <w:rPr>
                <w:noProof/>
                <w:webHidden/>
              </w:rPr>
              <w:t>5</w:t>
            </w:r>
            <w:r>
              <w:rPr>
                <w:noProof/>
                <w:webHidden/>
              </w:rPr>
              <w:fldChar w:fldCharType="end"/>
            </w:r>
          </w:hyperlink>
        </w:p>
        <w:p w14:paraId="46CEC964" w14:textId="0229D47E"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4" w:history="1">
            <w:r w:rsidRPr="00D65CF5">
              <w:rPr>
                <w:rStyle w:val="Lienhypertexte"/>
                <w:noProof/>
              </w:rPr>
              <w:t>6.</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LIVRABLES</w:t>
            </w:r>
            <w:r>
              <w:rPr>
                <w:noProof/>
                <w:webHidden/>
              </w:rPr>
              <w:tab/>
            </w:r>
            <w:r>
              <w:rPr>
                <w:noProof/>
                <w:webHidden/>
              </w:rPr>
              <w:fldChar w:fldCharType="begin"/>
            </w:r>
            <w:r>
              <w:rPr>
                <w:noProof/>
                <w:webHidden/>
              </w:rPr>
              <w:instrText xml:space="preserve"> PAGEREF _Toc199170174 \h </w:instrText>
            </w:r>
            <w:r>
              <w:rPr>
                <w:noProof/>
                <w:webHidden/>
              </w:rPr>
            </w:r>
            <w:r>
              <w:rPr>
                <w:noProof/>
                <w:webHidden/>
              </w:rPr>
              <w:fldChar w:fldCharType="separate"/>
            </w:r>
            <w:r>
              <w:rPr>
                <w:noProof/>
                <w:webHidden/>
              </w:rPr>
              <w:t>6</w:t>
            </w:r>
            <w:r>
              <w:rPr>
                <w:noProof/>
                <w:webHidden/>
              </w:rPr>
              <w:fldChar w:fldCharType="end"/>
            </w:r>
          </w:hyperlink>
        </w:p>
        <w:p w14:paraId="0610CD3C" w14:textId="11D4E92D"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5" w:history="1">
            <w:r w:rsidRPr="00D65CF5">
              <w:rPr>
                <w:rStyle w:val="Lienhypertexte"/>
                <w:noProof/>
              </w:rPr>
              <w:t>7.</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DUREE ET LIEU D’EXECUTION DE LA MISSION</w:t>
            </w:r>
            <w:r>
              <w:rPr>
                <w:noProof/>
                <w:webHidden/>
              </w:rPr>
              <w:tab/>
            </w:r>
            <w:r>
              <w:rPr>
                <w:noProof/>
                <w:webHidden/>
              </w:rPr>
              <w:fldChar w:fldCharType="begin"/>
            </w:r>
            <w:r>
              <w:rPr>
                <w:noProof/>
                <w:webHidden/>
              </w:rPr>
              <w:instrText xml:space="preserve"> PAGEREF _Toc199170175 \h </w:instrText>
            </w:r>
            <w:r>
              <w:rPr>
                <w:noProof/>
                <w:webHidden/>
              </w:rPr>
            </w:r>
            <w:r>
              <w:rPr>
                <w:noProof/>
                <w:webHidden/>
              </w:rPr>
              <w:fldChar w:fldCharType="separate"/>
            </w:r>
            <w:r>
              <w:rPr>
                <w:noProof/>
                <w:webHidden/>
              </w:rPr>
              <w:t>7</w:t>
            </w:r>
            <w:r>
              <w:rPr>
                <w:noProof/>
                <w:webHidden/>
              </w:rPr>
              <w:fldChar w:fldCharType="end"/>
            </w:r>
          </w:hyperlink>
        </w:p>
        <w:p w14:paraId="4D9E2A59" w14:textId="30C657F8"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6" w:history="1">
            <w:r w:rsidRPr="00D65CF5">
              <w:rPr>
                <w:rStyle w:val="Lienhypertexte"/>
                <w:noProof/>
              </w:rPr>
              <w:t>8.</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shd w:val="clear" w:color="auto" w:fill="FFFFFF"/>
              </w:rPr>
              <w:t>PROFIL DU BUREAU</w:t>
            </w:r>
            <w:r>
              <w:rPr>
                <w:noProof/>
                <w:webHidden/>
              </w:rPr>
              <w:tab/>
            </w:r>
            <w:r>
              <w:rPr>
                <w:noProof/>
                <w:webHidden/>
              </w:rPr>
              <w:fldChar w:fldCharType="begin"/>
            </w:r>
            <w:r>
              <w:rPr>
                <w:noProof/>
                <w:webHidden/>
              </w:rPr>
              <w:instrText xml:space="preserve"> PAGEREF _Toc199170176 \h </w:instrText>
            </w:r>
            <w:r>
              <w:rPr>
                <w:noProof/>
                <w:webHidden/>
              </w:rPr>
            </w:r>
            <w:r>
              <w:rPr>
                <w:noProof/>
                <w:webHidden/>
              </w:rPr>
              <w:fldChar w:fldCharType="separate"/>
            </w:r>
            <w:r>
              <w:rPr>
                <w:noProof/>
                <w:webHidden/>
              </w:rPr>
              <w:t>8</w:t>
            </w:r>
            <w:r>
              <w:rPr>
                <w:noProof/>
                <w:webHidden/>
              </w:rPr>
              <w:fldChar w:fldCharType="end"/>
            </w:r>
          </w:hyperlink>
        </w:p>
        <w:p w14:paraId="47CB70F9" w14:textId="5AD75E92"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7" w:history="1">
            <w:r w:rsidRPr="00D65CF5">
              <w:rPr>
                <w:rStyle w:val="Lienhypertexte"/>
                <w:noProof/>
              </w:rPr>
              <w:t>9.</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shd w:val="clear" w:color="auto" w:fill="FFFFFF"/>
              </w:rPr>
              <w:t>MODE DE SELECTION ET NEGOCIATION DU CONTRAT</w:t>
            </w:r>
            <w:r>
              <w:rPr>
                <w:noProof/>
                <w:webHidden/>
              </w:rPr>
              <w:tab/>
            </w:r>
            <w:r>
              <w:rPr>
                <w:noProof/>
                <w:webHidden/>
              </w:rPr>
              <w:fldChar w:fldCharType="begin"/>
            </w:r>
            <w:r>
              <w:rPr>
                <w:noProof/>
                <w:webHidden/>
              </w:rPr>
              <w:instrText xml:space="preserve"> PAGEREF _Toc199170177 \h </w:instrText>
            </w:r>
            <w:r>
              <w:rPr>
                <w:noProof/>
                <w:webHidden/>
              </w:rPr>
            </w:r>
            <w:r>
              <w:rPr>
                <w:noProof/>
                <w:webHidden/>
              </w:rPr>
              <w:fldChar w:fldCharType="separate"/>
            </w:r>
            <w:r>
              <w:rPr>
                <w:noProof/>
                <w:webHidden/>
              </w:rPr>
              <w:t>9</w:t>
            </w:r>
            <w:r>
              <w:rPr>
                <w:noProof/>
                <w:webHidden/>
              </w:rPr>
              <w:fldChar w:fldCharType="end"/>
            </w:r>
          </w:hyperlink>
        </w:p>
        <w:p w14:paraId="62B9D5B9" w14:textId="3979EED0"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8" w:history="1">
            <w:r w:rsidRPr="00D65CF5">
              <w:rPr>
                <w:rStyle w:val="Lienhypertexte"/>
                <w:noProof/>
                <w:lang w:eastAsia="en-GB"/>
              </w:rPr>
              <w:t>10.</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PIECES CONSTITUTIVES DE LA MANIFESTATION D’INTERET</w:t>
            </w:r>
            <w:r>
              <w:rPr>
                <w:noProof/>
                <w:webHidden/>
              </w:rPr>
              <w:tab/>
            </w:r>
            <w:r>
              <w:rPr>
                <w:noProof/>
                <w:webHidden/>
              </w:rPr>
              <w:fldChar w:fldCharType="begin"/>
            </w:r>
            <w:r>
              <w:rPr>
                <w:noProof/>
                <w:webHidden/>
              </w:rPr>
              <w:instrText xml:space="preserve"> PAGEREF _Toc199170178 \h </w:instrText>
            </w:r>
            <w:r>
              <w:rPr>
                <w:noProof/>
                <w:webHidden/>
              </w:rPr>
            </w:r>
            <w:r>
              <w:rPr>
                <w:noProof/>
                <w:webHidden/>
              </w:rPr>
              <w:fldChar w:fldCharType="separate"/>
            </w:r>
            <w:r>
              <w:rPr>
                <w:noProof/>
                <w:webHidden/>
              </w:rPr>
              <w:t>11</w:t>
            </w:r>
            <w:r>
              <w:rPr>
                <w:noProof/>
                <w:webHidden/>
              </w:rPr>
              <w:fldChar w:fldCharType="end"/>
            </w:r>
          </w:hyperlink>
        </w:p>
        <w:p w14:paraId="0E490F2C" w14:textId="66E68C07"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79" w:history="1">
            <w:r w:rsidRPr="00D65CF5">
              <w:rPr>
                <w:rStyle w:val="Lienhypertexte"/>
                <w:noProof/>
              </w:rPr>
              <w:t>11.</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RESPONSABILITES RESPECTIVES</w:t>
            </w:r>
            <w:r>
              <w:rPr>
                <w:noProof/>
                <w:webHidden/>
              </w:rPr>
              <w:tab/>
            </w:r>
            <w:r>
              <w:rPr>
                <w:noProof/>
                <w:webHidden/>
              </w:rPr>
              <w:fldChar w:fldCharType="begin"/>
            </w:r>
            <w:r>
              <w:rPr>
                <w:noProof/>
                <w:webHidden/>
              </w:rPr>
              <w:instrText xml:space="preserve"> PAGEREF _Toc199170179 \h </w:instrText>
            </w:r>
            <w:r>
              <w:rPr>
                <w:noProof/>
                <w:webHidden/>
              </w:rPr>
            </w:r>
            <w:r>
              <w:rPr>
                <w:noProof/>
                <w:webHidden/>
              </w:rPr>
              <w:fldChar w:fldCharType="separate"/>
            </w:r>
            <w:r>
              <w:rPr>
                <w:noProof/>
                <w:webHidden/>
              </w:rPr>
              <w:t>13</w:t>
            </w:r>
            <w:r>
              <w:rPr>
                <w:noProof/>
                <w:webHidden/>
              </w:rPr>
              <w:fldChar w:fldCharType="end"/>
            </w:r>
          </w:hyperlink>
        </w:p>
        <w:p w14:paraId="23D7D338" w14:textId="1DF3BA2E"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80" w:history="1">
            <w:r w:rsidRPr="00D65CF5">
              <w:rPr>
                <w:rStyle w:val="Lienhypertexte"/>
                <w:noProof/>
              </w:rPr>
              <w:t>12.</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CONFLIT D’INTERET</w:t>
            </w:r>
            <w:r>
              <w:rPr>
                <w:noProof/>
                <w:webHidden/>
              </w:rPr>
              <w:tab/>
            </w:r>
            <w:r>
              <w:rPr>
                <w:noProof/>
                <w:webHidden/>
              </w:rPr>
              <w:fldChar w:fldCharType="begin"/>
            </w:r>
            <w:r>
              <w:rPr>
                <w:noProof/>
                <w:webHidden/>
              </w:rPr>
              <w:instrText xml:space="preserve"> PAGEREF _Toc199170180 \h </w:instrText>
            </w:r>
            <w:r>
              <w:rPr>
                <w:noProof/>
                <w:webHidden/>
              </w:rPr>
            </w:r>
            <w:r>
              <w:rPr>
                <w:noProof/>
                <w:webHidden/>
              </w:rPr>
              <w:fldChar w:fldCharType="separate"/>
            </w:r>
            <w:r>
              <w:rPr>
                <w:noProof/>
                <w:webHidden/>
              </w:rPr>
              <w:t>15</w:t>
            </w:r>
            <w:r>
              <w:rPr>
                <w:noProof/>
                <w:webHidden/>
              </w:rPr>
              <w:fldChar w:fldCharType="end"/>
            </w:r>
          </w:hyperlink>
        </w:p>
        <w:p w14:paraId="29CEC2B8" w14:textId="6F47CD53"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81" w:history="1">
            <w:r w:rsidRPr="00D65CF5">
              <w:rPr>
                <w:rStyle w:val="Lienhypertexte"/>
                <w:noProof/>
              </w:rPr>
              <w:t>13.</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CONFIDENTIALITE</w:t>
            </w:r>
            <w:r>
              <w:rPr>
                <w:noProof/>
                <w:webHidden/>
              </w:rPr>
              <w:tab/>
            </w:r>
            <w:r>
              <w:rPr>
                <w:noProof/>
                <w:webHidden/>
              </w:rPr>
              <w:fldChar w:fldCharType="begin"/>
            </w:r>
            <w:r>
              <w:rPr>
                <w:noProof/>
                <w:webHidden/>
              </w:rPr>
              <w:instrText xml:space="preserve"> PAGEREF _Toc199170181 \h </w:instrText>
            </w:r>
            <w:r>
              <w:rPr>
                <w:noProof/>
                <w:webHidden/>
              </w:rPr>
            </w:r>
            <w:r>
              <w:rPr>
                <w:noProof/>
                <w:webHidden/>
              </w:rPr>
              <w:fldChar w:fldCharType="separate"/>
            </w:r>
            <w:r>
              <w:rPr>
                <w:noProof/>
                <w:webHidden/>
              </w:rPr>
              <w:t>16</w:t>
            </w:r>
            <w:r>
              <w:rPr>
                <w:noProof/>
                <w:webHidden/>
              </w:rPr>
              <w:fldChar w:fldCharType="end"/>
            </w:r>
          </w:hyperlink>
        </w:p>
        <w:p w14:paraId="7C10C93C" w14:textId="35612B07" w:rsidR="002D269A" w:rsidRDefault="002D269A">
          <w:pPr>
            <w:pStyle w:val="TM1"/>
            <w:rPr>
              <w:rFonts w:asciiTheme="minorHAnsi" w:eastAsiaTheme="minorEastAsia" w:hAnsiTheme="minorHAnsi" w:cstheme="minorBidi"/>
              <w:b w:val="0"/>
              <w:noProof/>
              <w:kern w:val="2"/>
              <w:sz w:val="24"/>
              <w:szCs w:val="24"/>
              <w:lang w:eastAsia="fr-FR"/>
              <w14:ligatures w14:val="standardContextual"/>
            </w:rPr>
          </w:pPr>
          <w:hyperlink w:anchor="_Toc199170182" w:history="1">
            <w:r w:rsidRPr="00D65CF5">
              <w:rPr>
                <w:rStyle w:val="Lienhypertexte"/>
                <w:noProof/>
              </w:rPr>
              <w:t>14.</w:t>
            </w:r>
            <w:r>
              <w:rPr>
                <w:rFonts w:asciiTheme="minorHAnsi" w:eastAsiaTheme="minorEastAsia" w:hAnsiTheme="minorHAnsi" w:cstheme="minorBidi"/>
                <w:b w:val="0"/>
                <w:noProof/>
                <w:kern w:val="2"/>
                <w:sz w:val="24"/>
                <w:szCs w:val="24"/>
                <w:lang w:eastAsia="fr-FR"/>
                <w14:ligatures w14:val="standardContextual"/>
              </w:rPr>
              <w:tab/>
            </w:r>
            <w:r w:rsidRPr="00D65CF5">
              <w:rPr>
                <w:rStyle w:val="Lienhypertexte"/>
                <w:noProof/>
              </w:rPr>
              <w:t>ANNEXES</w:t>
            </w:r>
            <w:r>
              <w:rPr>
                <w:noProof/>
                <w:webHidden/>
              </w:rPr>
              <w:tab/>
            </w:r>
            <w:r>
              <w:rPr>
                <w:noProof/>
                <w:webHidden/>
              </w:rPr>
              <w:fldChar w:fldCharType="begin"/>
            </w:r>
            <w:r>
              <w:rPr>
                <w:noProof/>
                <w:webHidden/>
              </w:rPr>
              <w:instrText xml:space="preserve"> PAGEREF _Toc199170182 \h </w:instrText>
            </w:r>
            <w:r>
              <w:rPr>
                <w:noProof/>
                <w:webHidden/>
              </w:rPr>
            </w:r>
            <w:r>
              <w:rPr>
                <w:noProof/>
                <w:webHidden/>
              </w:rPr>
              <w:fldChar w:fldCharType="separate"/>
            </w:r>
            <w:r>
              <w:rPr>
                <w:noProof/>
                <w:webHidden/>
              </w:rPr>
              <w:t>18</w:t>
            </w:r>
            <w:r>
              <w:rPr>
                <w:noProof/>
                <w:webHidden/>
              </w:rPr>
              <w:fldChar w:fldCharType="end"/>
            </w:r>
          </w:hyperlink>
        </w:p>
        <w:p w14:paraId="72FBABE5" w14:textId="2B04EC13" w:rsidR="00442220" w:rsidRPr="000A077B" w:rsidRDefault="00C96BA8">
          <w:r w:rsidRPr="00AE5E1F">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9A5F1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F05314">
      <w:pPr>
        <w:pStyle w:val="Titre1"/>
      </w:pPr>
      <w:bookmarkStart w:id="0" w:name="_Toc199170169"/>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18792D67" w14:textId="77777777" w:rsidR="002D269A" w:rsidRPr="002D269A" w:rsidRDefault="002D269A" w:rsidP="002D269A">
      <w:pPr>
        <w:rPr>
          <w:sz w:val="24"/>
          <w:szCs w:val="24"/>
          <w:lang w:eastAsia="fr-FR"/>
        </w:rPr>
      </w:pPr>
      <w:r w:rsidRPr="002D269A">
        <w:rPr>
          <w:sz w:val="24"/>
          <w:szCs w:val="24"/>
          <w:lang w:eastAsia="fr-FR"/>
        </w:rPr>
        <w:t>Dans le cadre du Programme d’Appui à la Qualité pour le Développement de la Gestion Stratégique des Universités (PAQ-DGSU), l’Université de Kairouan a conçu le projet intitulé « Initiative vers l’excellence », qui vise à améliorer la gouvernance, l’attractivité et l’ancrage territorial de l’institution. L’une des actions phares de ce projet, inscrite sous le code A.2.1.1.2, concerne la création et l’institutionnalisation de cellules antennes pour la promotion des pratiques pédagogiques, annexées à la cellule-matrice C3P.</w:t>
      </w:r>
    </w:p>
    <w:p w14:paraId="7BCF94FE" w14:textId="77777777" w:rsidR="002D269A" w:rsidRPr="002D269A" w:rsidRDefault="002D269A" w:rsidP="002D269A">
      <w:pPr>
        <w:rPr>
          <w:sz w:val="24"/>
          <w:szCs w:val="24"/>
          <w:lang w:eastAsia="fr-FR"/>
        </w:rPr>
      </w:pPr>
    </w:p>
    <w:p w14:paraId="6593C68A" w14:textId="77777777" w:rsidR="002D269A" w:rsidRPr="002D269A" w:rsidRDefault="002D269A" w:rsidP="002D269A">
      <w:pPr>
        <w:rPr>
          <w:sz w:val="24"/>
          <w:szCs w:val="24"/>
          <w:lang w:eastAsia="fr-FR"/>
        </w:rPr>
      </w:pPr>
      <w:r w:rsidRPr="002D269A">
        <w:rPr>
          <w:sz w:val="24"/>
          <w:szCs w:val="24"/>
          <w:lang w:eastAsia="fr-FR"/>
        </w:rPr>
        <w:t>Afin d’accompagner efficacement cette dynamique, l’Université prévoit de recourir à une assistance technique spécialisée sous forme d’une journée de formation intensive. Cette formation est destinée aux membres des cellules pédagogiques nouvellement créées au sein des établissements relevant de l’université, dans le but de les former aux principes et outils de la pédagogie du projet, tout en les dotant de compétences méthodologiques et participatives favorisant l’autonomie institutionnelle et la performance éducative.</w:t>
      </w:r>
    </w:p>
    <w:p w14:paraId="7134761E" w14:textId="77777777" w:rsidR="002D269A" w:rsidRPr="002D269A" w:rsidRDefault="002D269A" w:rsidP="002D269A">
      <w:pPr>
        <w:rPr>
          <w:sz w:val="24"/>
          <w:szCs w:val="24"/>
          <w:lang w:eastAsia="fr-FR"/>
        </w:rPr>
      </w:pPr>
    </w:p>
    <w:p w14:paraId="04A462E0" w14:textId="77777777" w:rsidR="002D269A" w:rsidRPr="002D269A" w:rsidRDefault="002D269A" w:rsidP="002D269A">
      <w:pPr>
        <w:rPr>
          <w:sz w:val="24"/>
          <w:szCs w:val="24"/>
          <w:lang w:eastAsia="fr-FR"/>
        </w:rPr>
      </w:pPr>
      <w:r w:rsidRPr="002D269A">
        <w:rPr>
          <w:sz w:val="24"/>
          <w:szCs w:val="24"/>
          <w:lang w:eastAsia="fr-FR"/>
        </w:rPr>
        <w:t>La mission confiée au bureau prestataire inclut la conception du programme pédagogique, l’animation de la formation, l’évaluation des acquis, la production de rapports techniques et pédagogiques, ainsi que la prise en charge de l’ensemble des aspects logistiques de la journée. Le lieu d’exécution est la centrale pédagogique de l’Université de Kairouan (Faculté des Lettres et Sciences Humaines), et la date sera fixée au moment de la contractualisation.</w:t>
      </w:r>
    </w:p>
    <w:p w14:paraId="3171D629" w14:textId="77777777" w:rsidR="002D269A" w:rsidRPr="002D269A" w:rsidRDefault="002D269A" w:rsidP="002D269A">
      <w:pPr>
        <w:rPr>
          <w:sz w:val="24"/>
          <w:szCs w:val="24"/>
          <w:lang w:eastAsia="fr-FR"/>
        </w:rPr>
      </w:pPr>
    </w:p>
    <w:p w14:paraId="7731B1DE" w14:textId="77777777" w:rsidR="002D269A" w:rsidRPr="002D269A" w:rsidRDefault="002D269A" w:rsidP="002D269A">
      <w:pPr>
        <w:rPr>
          <w:sz w:val="24"/>
          <w:szCs w:val="24"/>
          <w:lang w:eastAsia="fr-FR"/>
        </w:rPr>
      </w:pPr>
      <w:r w:rsidRPr="002D269A">
        <w:rPr>
          <w:sz w:val="24"/>
          <w:szCs w:val="24"/>
          <w:lang w:eastAsia="fr-FR"/>
        </w:rPr>
        <w:t>Le prestataire devra répondre à des critères rigoureux en matière d’expertise, avec au moins cinq missions similaires dans le domaine de la pédagogie du projet, dix années d’expérience dans l’enseignement supérieur ou la formation professionnelle, ainsi que des qualifications de haut niveau (doctorat, HDR ou inspecteur principal). Le mode de sélection se fera selon la méthode de Sélection fondée sur les qualifications (QC) conformément aux directives de la Banque Mondiale, avec une évaluation technique détaillée et une négociation avec l’offre la mieux classée.</w:t>
      </w:r>
    </w:p>
    <w:p w14:paraId="48817CB9" w14:textId="77777777" w:rsidR="002D269A" w:rsidRPr="002D269A" w:rsidRDefault="002D269A" w:rsidP="002D269A">
      <w:pPr>
        <w:rPr>
          <w:sz w:val="24"/>
          <w:szCs w:val="24"/>
          <w:lang w:eastAsia="fr-FR"/>
        </w:rPr>
      </w:pPr>
    </w:p>
    <w:p w14:paraId="6A1BF876" w14:textId="6FE77473" w:rsidR="002D269A" w:rsidRPr="002D269A" w:rsidRDefault="002D269A" w:rsidP="002D269A">
      <w:pPr>
        <w:rPr>
          <w:sz w:val="24"/>
          <w:szCs w:val="24"/>
          <w:lang w:eastAsia="fr-FR"/>
        </w:rPr>
      </w:pPr>
      <w:r w:rsidRPr="002D269A">
        <w:rPr>
          <w:sz w:val="24"/>
          <w:szCs w:val="24"/>
          <w:lang w:eastAsia="fr-FR"/>
        </w:rPr>
        <w:t>Ce mandat s’inscrit dans une stratégie globale de transformation pédagogique et de professionnalisation de la gouvernance universitaire, avec pour finalité de positionner l’Université de Kairouan comme un acteur majeur de l’innovation éducative et du développement régional.</w:t>
      </w:r>
    </w:p>
    <w:p w14:paraId="30CC17B2" w14:textId="77777777" w:rsidR="00F05314" w:rsidRPr="00F05314" w:rsidRDefault="00F05314" w:rsidP="00F05314"/>
    <w:p w14:paraId="04DE2497" w14:textId="58B124C9" w:rsidR="001349CA" w:rsidRPr="002F0146" w:rsidRDefault="00382A1D" w:rsidP="00F05314">
      <w:pPr>
        <w:pStyle w:val="Titre1"/>
      </w:pPr>
      <w:bookmarkStart w:id="10" w:name="_Toc199170170"/>
      <w:r w:rsidRPr="002F0146">
        <w:t>CONTEXTE DE L’ACTION</w:t>
      </w:r>
      <w:bookmarkEnd w:id="1"/>
      <w:bookmarkEnd w:id="10"/>
    </w:p>
    <w:p w14:paraId="16BA8F7A" w14:textId="77777777" w:rsidR="009A5F18" w:rsidRDefault="009A5F18" w:rsidP="009A5F18">
      <w:pPr>
        <w:pStyle w:val="NormalWeb"/>
        <w:spacing w:line="360" w:lineRule="auto"/>
        <w:jc w:val="both"/>
      </w:pPr>
      <w:r>
        <w:t xml:space="preserve">Dans le cadre des réformes structurelles de l’enseignement supérieur en Tunisie, le </w:t>
      </w:r>
      <w:proofErr w:type="gramStart"/>
      <w:r>
        <w:t>Ministère de l’Enseignement</w:t>
      </w:r>
      <w:proofErr w:type="gramEnd"/>
      <w:r>
        <w:t xml:space="preserve"> Supérieur et de la Recherche Scientifique (MESRS) a conçu et mis en place le Projet de Modernisation de l’Enseignement Supérieur en soutien à l’Employabilité des jeunes diplômés, dénommé </w:t>
      </w:r>
      <w:proofErr w:type="spellStart"/>
      <w:r>
        <w:t>PromESsE</w:t>
      </w:r>
      <w:proofErr w:type="spellEnd"/>
      <w:r>
        <w:t xml:space="preserve">/TN. Ce projet est soutenu par un financement partiel de la Banque Internationale pour la Reconstruction et le Développement (BIRD), accordé dans le cadre de l’Accord de prêt n° 8590-TN. </w:t>
      </w:r>
      <w:proofErr w:type="spellStart"/>
      <w:r>
        <w:t>PromESsE</w:t>
      </w:r>
      <w:proofErr w:type="spellEnd"/>
      <w:r>
        <w:t>/TN vise à renforcer la capacité des 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lastRenderedPageBreak/>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3232615C" w14:textId="059FC3A1" w:rsidR="003F4DE2" w:rsidRPr="003F4DE2" w:rsidRDefault="009A5F18" w:rsidP="003F4DE2">
      <w:pPr>
        <w:spacing w:line="360" w:lineRule="auto"/>
        <w:rPr>
          <w:sz w:val="24"/>
          <w:szCs w:val="24"/>
          <w:lang w:eastAsia="fr-FR"/>
        </w:rPr>
      </w:pPr>
      <w:r w:rsidRPr="003F4DE2">
        <w:rPr>
          <w:sz w:val="24"/>
          <w:szCs w:val="24"/>
          <w:lang w:eastAsia="fr-FR"/>
        </w:rPr>
        <w:t xml:space="preserve">Afin d’accompagner la mise en œuvre de ce projet, l’Université de Kairouan prévoit de recourir à une assistance technique spécialisée. Cette mission, confiée à un bureau de </w:t>
      </w:r>
      <w:r w:rsidR="003F4DE2" w:rsidRPr="003F4DE2">
        <w:rPr>
          <w:sz w:val="24"/>
          <w:szCs w:val="24"/>
          <w:lang w:eastAsia="fr-FR"/>
        </w:rPr>
        <w:t>formations pour renforcer la capacité de l’université en gestion stratégique et en pédagogie innovante. L’action A.2.1.1.2 a pour objectif de créer et d’institutionnaliser des cellules antennes dédiées à la "Promotion des pratiques pédagogiques" au sein des établissements de l’université annexées à la cellule-matrice C3P (Cellule de Promotion des Pratiques pédagogiques). Cette journée de formation permettra aux participants de maîtriser les méthodologies de gestion de projet éducatif, favorisant ainsi l’autonomie et la performance institutionnelle.</w:t>
      </w:r>
    </w:p>
    <w:p w14:paraId="32993396" w14:textId="51CDCEF4" w:rsidR="00D01A3C" w:rsidRDefault="009A5F18" w:rsidP="003F4DE2">
      <w:pPr>
        <w:pStyle w:val="Titre1"/>
      </w:pPr>
      <w:r>
        <w:t xml:space="preserve"> </w:t>
      </w:r>
      <w:bookmarkStart w:id="11" w:name="_Toc199170171"/>
      <w:r w:rsidR="00382A1D" w:rsidRPr="00FA3AF6">
        <w:t>OBJECTIFS ET RESULTATS ESCOMPTES DE LA MISSION</w:t>
      </w:r>
      <w:bookmarkEnd w:id="11"/>
    </w:p>
    <w:p w14:paraId="39448CE3" w14:textId="77777777" w:rsidR="00F95A02" w:rsidRDefault="00F95A02" w:rsidP="00F95A02">
      <w:pPr>
        <w:pStyle w:val="NormalWeb"/>
        <w:spacing w:line="360" w:lineRule="auto"/>
        <w:jc w:val="both"/>
      </w:pPr>
      <w:r>
        <w:t>Dans le prolongement du projet « Initiative vers l’excellence » initié par l’Université de Kairouan dans le cadre du programme PAQ-DGSU, la présente mission d’assistance technique s’inscrit dans une dynamique de transformation pédagogique et de renforcement de la gouvernance académique. Elle vise principalement à former les membres des établissements universitaires affiliés à l’Université de Kairouan aux fondements et aux outils de la pédagogie du projet, tout en mettant en place des cellules antennes rattachées à la cellule-matrice C3P (Cellule de Promotion des Pratiques Pédagogiques). Cette démarche constitue un levier stratégique pour ancrer durablement des pratiques pédagogiques innovantes au sein des établissements, et pour inscrire l’université dans une logique d’autonomie, de qualité et de performance.</w:t>
      </w:r>
    </w:p>
    <w:p w14:paraId="15DDAFF7" w14:textId="77777777" w:rsidR="00F95A02" w:rsidRDefault="00F95A02" w:rsidP="00F95A02">
      <w:pPr>
        <w:pStyle w:val="NormalWeb"/>
        <w:spacing w:line="360" w:lineRule="auto"/>
        <w:jc w:val="both"/>
      </w:pPr>
      <w:r>
        <w:lastRenderedPageBreak/>
        <w:t>L’objectif général de la mission est de doter les équipes pédagogiques des compétences nécessaires pour intégrer les principes de la pédagogie du projet dans leurs pratiques quotidiennes, tout en favorisant l’émergence d’instances locales – les cellules antennes – qui auront pour rôle d’impulser et de coordonner les actions liées à la promotion de ces approches pédagogiques. Ce processus s’appuie sur une volonté forte de faire évoluer les modes d’enseignement vers plus de participation, d’interdisciplinarité et d’adaptation aux besoins spécifiques des étudiants et du marché du travail.</w:t>
      </w:r>
    </w:p>
    <w:p w14:paraId="74B465DA" w14:textId="77777777" w:rsidR="00F95A02" w:rsidRDefault="00F95A02" w:rsidP="00F95A02">
      <w:pPr>
        <w:pStyle w:val="NormalWeb"/>
        <w:spacing w:line="360" w:lineRule="auto"/>
        <w:jc w:val="both"/>
      </w:pPr>
      <w:r>
        <w:t>De manière plus ciblée, la mission cherche à sensibiliser les participants aux enjeux actuels de la pédagogie par projet dans le contexte de l’enseignement supérieur tunisien. Cette sensibilisation vise à créer une prise de conscience collective sur l’importance de méthodes pédagogiques actives, centrées sur l’étudiant, et susceptibles de développer chez ce dernier des compétences transversales telles que l’autonomie, la collaboration et la résolution de problèmes complexes.</w:t>
      </w:r>
    </w:p>
    <w:p w14:paraId="47B45534" w14:textId="77777777" w:rsidR="00F95A02" w:rsidRDefault="00F95A02" w:rsidP="00F95A02">
      <w:pPr>
        <w:pStyle w:val="NormalWeb"/>
        <w:spacing w:line="360" w:lineRule="auto"/>
        <w:jc w:val="both"/>
      </w:pPr>
      <w:r>
        <w:t>Par ailleurs, la mission prévoit une formation approfondie à l’élaboration, à la planification et au suivi de projets pédagogiques. Cette formation permettra aux membres des cellules d’acquérir une maîtrise concrète des étapes clés du cycle de projet, depuis l’analyse des besoins jusqu’à l’évaluation des résultats, en passant par la conception d’activités pédagogiques innovantes. Les participants seront également outillés en techniques participatives et en méthodologies d’évaluation, afin de renforcer leur capacité à mobiliser les parties prenantes, à piloter des initiatives pédagogiques collectives, et à mesurer l’impact des actions mises en œuvre.</w:t>
      </w:r>
    </w:p>
    <w:p w14:paraId="6C359337" w14:textId="77777777" w:rsidR="00F95A02" w:rsidRDefault="00F95A02" w:rsidP="00F95A02">
      <w:pPr>
        <w:pStyle w:val="NormalWeb"/>
        <w:spacing w:line="360" w:lineRule="auto"/>
        <w:jc w:val="both"/>
      </w:pPr>
      <w:r>
        <w:t>Enfin, l’un des volets essentiels de cette mission portera sur l’élaboration de recommandations opérationnelles pour assurer la pérennisation des cellules antennes de la C3P. Ces recommandations auront pour but de garantir la continuité des actions au-delà de la période de formation, d’asseoir un cadre organisationnel clair pour le fonctionnement des cellules, et de favoriser leur intégration dans la stratégie globale de développement de l’université.</w:t>
      </w:r>
    </w:p>
    <w:p w14:paraId="5E5D9153" w14:textId="77777777" w:rsidR="00F95A02" w:rsidRDefault="00F95A02" w:rsidP="00F95A02">
      <w:pPr>
        <w:pStyle w:val="NormalWeb"/>
        <w:spacing w:line="360" w:lineRule="auto"/>
        <w:jc w:val="both"/>
      </w:pPr>
      <w:r>
        <w:t>Ainsi, à travers cette mission, l’Université de Kairouan ambitionne de poser les bases d’un changement durable dans les pratiques pédagogiques, en s’appuyant sur un réseau structuré de cellules locales, capables de porter des dynamiques de modernisation et d’innovation au service de la qualité de l’enseignement supérieur.</w:t>
      </w:r>
    </w:p>
    <w:p w14:paraId="3C3C9288" w14:textId="77777777" w:rsidR="009A5F18" w:rsidRPr="009A5F18" w:rsidRDefault="009A5F18" w:rsidP="009A5F18"/>
    <w:p w14:paraId="2DDB944D" w14:textId="5C19324F" w:rsidR="00092908" w:rsidRPr="002F0146" w:rsidRDefault="00382A1D" w:rsidP="009A5F18">
      <w:pPr>
        <w:pStyle w:val="Titre1"/>
      </w:pPr>
      <w:bookmarkStart w:id="12" w:name="_Toc199170172"/>
      <w:r w:rsidRPr="002F0146">
        <w:lastRenderedPageBreak/>
        <w:t>BENEFICIAIRES DE LA MISSION</w:t>
      </w:r>
      <w:bookmarkEnd w:id="12"/>
    </w:p>
    <w:p w14:paraId="528D7E66" w14:textId="77777777" w:rsidR="00F95A02" w:rsidRPr="00F95A02" w:rsidRDefault="00F95A02" w:rsidP="00F95A02">
      <w:pPr>
        <w:spacing w:before="100" w:beforeAutospacing="1" w:after="100" w:afterAutospacing="1" w:line="360" w:lineRule="auto"/>
        <w:rPr>
          <w:sz w:val="24"/>
          <w:szCs w:val="24"/>
          <w:lang w:eastAsia="fr-FR"/>
        </w:rPr>
      </w:pPr>
      <w:r w:rsidRPr="00F95A02">
        <w:rPr>
          <w:sz w:val="24"/>
          <w:szCs w:val="24"/>
          <w:lang w:eastAsia="fr-FR"/>
        </w:rPr>
        <w:t>La mission s’adresse en priorité aux membres désignés des futures cellules antennes de la C3P, réparties au sein des différents établissements relevant de l’Université de Kairouan. Ces bénéficiaires constituent le noyau principal autour duquel s’articulera la dynamique de promotion des pratiques pédagogiques innovantes. Ils seront directement impliqués dans la formation et la mise en œuvre des actions prévues, et joueront un rôle moteur dans l’animation des cellules locales au sein de leurs institutions respectives.</w:t>
      </w:r>
    </w:p>
    <w:p w14:paraId="1936F81B" w14:textId="77777777" w:rsidR="00F95A02" w:rsidRPr="00F95A02" w:rsidRDefault="00F95A02" w:rsidP="00F95A02">
      <w:pPr>
        <w:spacing w:before="100" w:beforeAutospacing="1" w:after="100" w:afterAutospacing="1" w:line="360" w:lineRule="auto"/>
        <w:rPr>
          <w:sz w:val="24"/>
          <w:szCs w:val="24"/>
          <w:lang w:eastAsia="fr-FR"/>
        </w:rPr>
      </w:pPr>
      <w:r w:rsidRPr="00F95A02">
        <w:rPr>
          <w:sz w:val="24"/>
          <w:szCs w:val="24"/>
          <w:lang w:eastAsia="fr-FR"/>
        </w:rPr>
        <w:t>Parmi les bénéficiaires figurent essentiellement des enseignants-chercheurs, choisis pour leur engagement, leur ouverture à l’innovation pédagogique et leur volonté de contribuer activement à l’évolution des pratiques d’enseignement. Leur profil les prédispose à devenir des agents de changement capables d’essaimer les bonnes pratiques au sein de leur communauté académique. Ils bénéficieront d’un renforcement ciblé de leurs compétences en gestion de projets pédagogiques, en méthodologies actives, et en animation d’équipes.</w:t>
      </w:r>
    </w:p>
    <w:p w14:paraId="6CD8F09C" w14:textId="77777777" w:rsidR="00F95A02" w:rsidRPr="00F95A02" w:rsidRDefault="00F95A02" w:rsidP="00F95A02">
      <w:pPr>
        <w:spacing w:before="100" w:beforeAutospacing="1" w:after="100" w:afterAutospacing="1" w:line="360" w:lineRule="auto"/>
        <w:rPr>
          <w:sz w:val="24"/>
          <w:szCs w:val="24"/>
          <w:lang w:eastAsia="fr-FR"/>
        </w:rPr>
      </w:pPr>
      <w:r w:rsidRPr="00F95A02">
        <w:rPr>
          <w:sz w:val="24"/>
          <w:szCs w:val="24"/>
          <w:lang w:eastAsia="fr-FR"/>
        </w:rPr>
        <w:t>La mission concernera également, de manière indirecte mais tout aussi importante, les responsables pédagogiques et administratifs des établissements de l’Université de Kairouan. En soutenant et en accompagnant les cellules antennes, ces responsables contribueront à l’ancrage institutionnel des nouvelles approches, et à leur intégration dans les politiques internes de qualité et d’amélioration continue. Leur implication favorisera l’alignement des actions de la mission avec les orientations stratégiques de l’université.</w:t>
      </w:r>
    </w:p>
    <w:p w14:paraId="5993717A" w14:textId="77777777" w:rsidR="00F95A02" w:rsidRPr="00F95A02" w:rsidRDefault="00F95A02" w:rsidP="00F95A02">
      <w:pPr>
        <w:spacing w:before="100" w:beforeAutospacing="1" w:after="100" w:afterAutospacing="1" w:line="360" w:lineRule="auto"/>
        <w:rPr>
          <w:sz w:val="24"/>
          <w:szCs w:val="24"/>
          <w:lang w:eastAsia="fr-FR"/>
        </w:rPr>
      </w:pPr>
      <w:r w:rsidRPr="00F95A02">
        <w:rPr>
          <w:sz w:val="24"/>
          <w:szCs w:val="24"/>
          <w:lang w:eastAsia="fr-FR"/>
        </w:rPr>
        <w:t>À travers ces bénéficiaires directs et indirects, la mission ambitionne de créer un effet multiplicateur sur l’ensemble de la communauté universitaire. Les étudiants, bien que non directement ciblés par l’action de formation, bénéficieront à terme d’un environnement pédagogique plus dynamique, interactif et adapté à leurs besoins, ce qui renforcera leur engagement et leur préparation à l’insertion professionnelle.</w:t>
      </w:r>
    </w:p>
    <w:p w14:paraId="0875493D" w14:textId="77777777" w:rsidR="00F95A02" w:rsidRPr="00F95A02" w:rsidRDefault="00F95A02" w:rsidP="00F95A02">
      <w:pPr>
        <w:spacing w:before="100" w:beforeAutospacing="1" w:after="100" w:afterAutospacing="1" w:line="360" w:lineRule="auto"/>
        <w:rPr>
          <w:sz w:val="24"/>
          <w:szCs w:val="24"/>
          <w:lang w:eastAsia="fr-FR"/>
        </w:rPr>
      </w:pPr>
      <w:r w:rsidRPr="00F95A02">
        <w:rPr>
          <w:sz w:val="24"/>
          <w:szCs w:val="24"/>
          <w:lang w:eastAsia="fr-FR"/>
        </w:rPr>
        <w:t>En somme, les bénéficiaires de cette mission sont à la fois les acteurs pédagogiques porteurs du changement et les structures universitaires qui les entourent, tous appelés à s’inscrire dans un processus collaboratif de transformation de l’enseignement supérieur au sein de l’Université de Kairouan.</w:t>
      </w:r>
    </w:p>
    <w:p w14:paraId="57E2A880" w14:textId="5B4DCCAF" w:rsidR="009A485C" w:rsidRPr="000A077B" w:rsidRDefault="00382A1D" w:rsidP="009A5F18">
      <w:pPr>
        <w:pStyle w:val="Titre1"/>
      </w:pPr>
      <w:bookmarkStart w:id="13" w:name="_Toc199170173"/>
      <w:r w:rsidRPr="000A077B">
        <w:lastRenderedPageBreak/>
        <w:t xml:space="preserve">ACTIVITES </w:t>
      </w:r>
      <w:r>
        <w:t>A REALISER</w:t>
      </w:r>
      <w:bookmarkEnd w:id="13"/>
    </w:p>
    <w:p w14:paraId="2D968257" w14:textId="77777777" w:rsidR="007B158F" w:rsidRDefault="007B158F" w:rsidP="007B158F">
      <w:pPr>
        <w:pStyle w:val="NormalWeb"/>
        <w:spacing w:line="360" w:lineRule="auto"/>
        <w:jc w:val="both"/>
      </w:pPr>
      <w:r>
        <w:t>Dans le cadre de la mise en œuvre de la mission de formation dédiée à la création et à l’institutionnalisation des cellules antennes de la C3P, un ensemble d’activités articulées autour de la préparation, de l’animation, de l’évaluation et du suivi de la journée de formation devra être conduit par le prestataire retenu. Ces activités viseront à garantir une expérience de formation complète, interactive et impactante, répondant aux objectifs pédagogiques et organisationnels fixés par l’Université de Kairouan.</w:t>
      </w:r>
    </w:p>
    <w:p w14:paraId="021303C0" w14:textId="77777777" w:rsidR="007B158F" w:rsidRDefault="007B158F" w:rsidP="007B158F">
      <w:pPr>
        <w:pStyle w:val="NormalWeb"/>
        <w:spacing w:line="360" w:lineRule="auto"/>
        <w:jc w:val="both"/>
      </w:pPr>
      <w:r>
        <w:t>La première étape consistera en la conception du programme détaillé de la journée de formation. Cette élaboration se fera en étroite concertation avec la coordinatrice de l’activité, afin d’assurer une parfaite adéquation entre le contenu proposé et les besoins spécifiques des participants. Le programme devra intégrer des approches pédagogiques actives, incluant des études de cas, des séquences d’analyse réflexive et des ateliers pratiques favorisant l’implication directe des bénéficiaires dans la construction de leurs savoirs.</w:t>
      </w:r>
    </w:p>
    <w:p w14:paraId="2E837C72" w14:textId="77777777" w:rsidR="007B158F" w:rsidRDefault="007B158F" w:rsidP="007B158F">
      <w:pPr>
        <w:pStyle w:val="NormalWeb"/>
        <w:spacing w:line="360" w:lineRule="auto"/>
        <w:jc w:val="both"/>
      </w:pPr>
      <w:r>
        <w:t>Lors de la journée de formation, le prestataire assurera l’animation des séances à l’aide d’outils variés et adaptés. L’utilisation de supports numériques, de fiches méthodologiques et d’outils de facilitation participative permettra de dynamiser les échanges et de rendre les contenus plus accessibles et opérationnels. L’objectif est de créer un environnement stimulant et collaboratif, propice à l’apprentissage et à l’émergence de compétences transférables dans le cadre des missions futures des cellules.</w:t>
      </w:r>
    </w:p>
    <w:p w14:paraId="0549F4E4" w14:textId="77777777" w:rsidR="007B158F" w:rsidRDefault="007B158F" w:rsidP="007B158F">
      <w:pPr>
        <w:pStyle w:val="NormalWeb"/>
        <w:spacing w:line="360" w:lineRule="auto"/>
        <w:jc w:val="both"/>
      </w:pPr>
      <w:r>
        <w:t>L’évaluation des acquis des participants constituera également une composante essentielle de la mission. Le prestataire devra mettre en place des dispositifs permettant de mesurer les apprentissages de manière formative et sommative, que ce soit à travers des questionnaires ciblés ou des mises en situation illustrant l’application des concepts abordés. Ces évaluations serviront à ajuster les approches en temps réel et à identifier les axes d’amélioration à intégrer dans les phases ultérieures.</w:t>
      </w:r>
    </w:p>
    <w:p w14:paraId="01448049" w14:textId="77777777" w:rsidR="007B158F" w:rsidRDefault="007B158F" w:rsidP="007B158F">
      <w:pPr>
        <w:pStyle w:val="NormalWeb"/>
        <w:spacing w:line="360" w:lineRule="auto"/>
        <w:jc w:val="both"/>
      </w:pPr>
      <w:r>
        <w:t>À l’issue de la formation, un rapport complet sera produit par le prestataire. Ce document comprendra un retour détaillé sur le déroulement de la journée, une synthèse des contributions et des résultats obtenus, ainsi que des recommandations pratiques pour la suite des actions. Il intégrera également des ressources numériques et méthodologiques destinées à enrichir les pratiques des membres des cellules, et à soutenir la pérennité de leur engagement.</w:t>
      </w:r>
    </w:p>
    <w:p w14:paraId="3BFA1F80" w14:textId="77777777" w:rsidR="007B158F" w:rsidRDefault="007B158F" w:rsidP="007B158F">
      <w:pPr>
        <w:pStyle w:val="NormalWeb"/>
        <w:spacing w:line="360" w:lineRule="auto"/>
        <w:jc w:val="both"/>
      </w:pPr>
      <w:r>
        <w:lastRenderedPageBreak/>
        <w:t>Parallèlement à ces dimensions pédagogiques, le prestataire prendra également en charge l’ensemble des aspects logistiques liés à l’organisation de la formation. Cela inclura la préparation des éléments de communication visuelle (badges, affiches, banderole, roll-up), la fourniture du matériel nécessaire (stylos, serviettes, bloc-notes, flash-disques), ainsi que la production des attestations et des éventuels trophées destinés aux invités, en coordination avec la responsable de l’activité. La mission couvrira également les pauses café, le déjeuner, ainsi que l’hébergement des intervenants ou participants ayant à se déplacer depuis d’autres régions.</w:t>
      </w:r>
    </w:p>
    <w:p w14:paraId="05974713" w14:textId="77777777" w:rsidR="007B158F" w:rsidRDefault="007B158F" w:rsidP="007B158F">
      <w:pPr>
        <w:pStyle w:val="NormalWeb"/>
        <w:spacing w:line="360" w:lineRule="auto"/>
        <w:jc w:val="both"/>
      </w:pPr>
      <w:r>
        <w:t>Ainsi, par la réalisation rigoureuse et concertée de ces différentes activités, la mission vise à offrir une formation de qualité, ancrée dans une logique de développement institutionnel et conçue comme un catalyseur de transformation pédagogique au sein de l’Université de Kairouan.</w:t>
      </w:r>
    </w:p>
    <w:p w14:paraId="36FC1877" w14:textId="2A138BE4" w:rsidR="00C868C7" w:rsidRDefault="00382A1D" w:rsidP="009A5F18">
      <w:pPr>
        <w:pStyle w:val="Titre1"/>
      </w:pPr>
      <w:bookmarkStart w:id="14" w:name="_Toc199170174"/>
      <w:r w:rsidRPr="000A077B">
        <w:t>LIVRABLES</w:t>
      </w:r>
      <w:bookmarkEnd w:id="14"/>
      <w:r>
        <w:t xml:space="preserve"> </w:t>
      </w:r>
    </w:p>
    <w:p w14:paraId="51015DDE" w14:textId="77777777" w:rsidR="004B2557" w:rsidRDefault="004B2557" w:rsidP="004B2557">
      <w:pPr>
        <w:pStyle w:val="NormalWeb"/>
        <w:spacing w:line="360" w:lineRule="auto"/>
        <w:jc w:val="both"/>
      </w:pPr>
      <w:r>
        <w:t>Afin d’assurer la traçabilité, la qualité et l’impact durable de la mission de formation, le prestataire sera tenu de produire un ensemble de livrables essentiels, à la fois pédagogiques, administratifs et stratégiques. Ces livrables constitueront à la fois des preuves de bonne exécution et des ressources de référence pour les bénéficiaires ainsi que pour l’Université de Kairouan dans le cadre du suivi et de la valorisation du projet.</w:t>
      </w:r>
    </w:p>
    <w:p w14:paraId="3C7ADC2D" w14:textId="77777777" w:rsidR="004B2557" w:rsidRDefault="004B2557" w:rsidP="004B2557">
      <w:pPr>
        <w:pStyle w:val="NormalWeb"/>
        <w:spacing w:line="360" w:lineRule="auto"/>
        <w:jc w:val="both"/>
      </w:pPr>
      <w:r>
        <w:t>En amont de la formation, le prestataire devra soumettre un programme détaillé de la journée sous forme de flyer. Ce document, élaboré en étroite concertation avec la coordinatrice de l’activité, devra faire l’objet d’une validation préalable par l’université. Il précisera le déroulement des sessions, les thématiques abordées, les modalités pédagogiques employées, ainsi que les intervenants mobilisés. Présenté de manière claire et professionnelle, ce flyer servira à la fois d’outil de communication et de feuille de route pour les participants.</w:t>
      </w:r>
    </w:p>
    <w:p w14:paraId="505D6B9C" w14:textId="77777777" w:rsidR="004B2557" w:rsidRDefault="004B2557" w:rsidP="004B2557">
      <w:pPr>
        <w:pStyle w:val="NormalWeb"/>
        <w:spacing w:line="360" w:lineRule="auto"/>
        <w:jc w:val="both"/>
      </w:pPr>
      <w:r>
        <w:t>Durant la formation, des supports pédagogiques structurés seront mis à disposition des participants. Ces supports comprendront notamment les présentations projetées lors des sessions, des guides méthodologiques, des fiches outils et tout autre document facilitant l’appropriation des contenus. Conçus dans une optique de transfert de compétences, ces documents seront remis aux participants en version électronique et, si nécessaire, en version imprimée.</w:t>
      </w:r>
    </w:p>
    <w:p w14:paraId="2AF62188" w14:textId="77777777" w:rsidR="004B2557" w:rsidRDefault="004B2557" w:rsidP="004B2557">
      <w:pPr>
        <w:pStyle w:val="NormalWeb"/>
        <w:spacing w:line="360" w:lineRule="auto"/>
        <w:jc w:val="both"/>
      </w:pPr>
      <w:r>
        <w:lastRenderedPageBreak/>
        <w:t>À l’issue de l’intervention, le prestataire devra remettre un rapport d’exécution complet. Ce rapport comprendra un bilan détaillé des activités réalisées, une analyse des résultats des évaluations effectuées auprès des participants, ainsi qu’un ensemble de recommandations concrètes pour assurer la pérennisation des cellules antennes de la C3P. Le rapport sera fourni en trois exemplaires papier, accompagnés de versions numériques aux formats PDF et Word, afin de faciliter sa diffusion et son archivage.</w:t>
      </w:r>
    </w:p>
    <w:p w14:paraId="3F711A6D" w14:textId="77777777" w:rsidR="004B2557" w:rsidRDefault="004B2557" w:rsidP="004B2557">
      <w:pPr>
        <w:pStyle w:val="NormalWeb"/>
        <w:spacing w:line="360" w:lineRule="auto"/>
        <w:jc w:val="both"/>
      </w:pPr>
      <w:r>
        <w:t>Des attestations de participation seront également préparées et distribuées à tous les bénéficiaires ayant pris part à la formation. Ces documents, signés par les autorités compétentes, valoriseront l’engagement des participants et reconnaîtront officiellement leur implication dans la démarche de renforcement des capacités pédagogiques.</w:t>
      </w:r>
    </w:p>
    <w:p w14:paraId="710F8E07" w14:textId="77777777" w:rsidR="004B2557" w:rsidRDefault="004B2557" w:rsidP="004B2557">
      <w:pPr>
        <w:pStyle w:val="NormalWeb"/>
        <w:spacing w:line="360" w:lineRule="auto"/>
        <w:jc w:val="both"/>
      </w:pPr>
      <w:r>
        <w:t>Un rapport post-formation viendra compléter les livrables. Il permettra de faire le point sur les retours recueillis après l’action de formation, d’identifier les premiers effets perceptibles sur les pratiques des bénéficiaires, et d’orienter les actions futures en s’appuyant sur un retour d’expérience éclairé.</w:t>
      </w:r>
    </w:p>
    <w:p w14:paraId="7CC898DA" w14:textId="77777777" w:rsidR="004B2557" w:rsidRDefault="004B2557" w:rsidP="004B2557">
      <w:pPr>
        <w:pStyle w:val="NormalWeb"/>
        <w:spacing w:line="360" w:lineRule="auto"/>
        <w:jc w:val="both"/>
      </w:pPr>
      <w:r>
        <w:t>Enfin, une évaluation post-formation sera conduite par le prestataire. Elle visera à mesurer l’évolution des connaissances et des pratiques chez les participants, à identifier les éventuelles difficultés rencontrées dans la mise en application des acquis, et à ajuster, si nécessaire, les dispositifs d’accompagnement. Les résultats de cette évaluation viendront enrichir la réflexion sur l’amélioration continue du programme.</w:t>
      </w:r>
    </w:p>
    <w:p w14:paraId="369CDC35" w14:textId="77777777" w:rsidR="004B2557" w:rsidRDefault="004B2557" w:rsidP="004B2557">
      <w:pPr>
        <w:pStyle w:val="NormalWeb"/>
        <w:spacing w:line="360" w:lineRule="auto"/>
        <w:jc w:val="both"/>
      </w:pPr>
      <w:r>
        <w:t>En somme, l’ensemble de ces livrables constitue un socle indispensable pour assurer la qualité, la traçabilité et la durabilité des effets de la mission de formation, au service des ambitions portées par l’Université de Kairouan en matière d’excellence académique et d’innovation pédagogique.</w:t>
      </w:r>
    </w:p>
    <w:p w14:paraId="3D8E27AC" w14:textId="085910FE" w:rsidR="00B45F84" w:rsidRDefault="00382A1D" w:rsidP="009A5F18">
      <w:pPr>
        <w:pStyle w:val="Titre1"/>
      </w:pPr>
      <w:bookmarkStart w:id="15" w:name="_Toc199170175"/>
      <w:r>
        <w:t>D</w:t>
      </w:r>
      <w:r w:rsidRPr="000A077B">
        <w:t xml:space="preserve">UREE ET LIEU </w:t>
      </w:r>
      <w:r>
        <w:t xml:space="preserve">D’EXECUTION </w:t>
      </w:r>
      <w:r w:rsidRPr="000A077B">
        <w:t>DE LA MISSION</w:t>
      </w:r>
      <w:bookmarkEnd w:id="15"/>
      <w:r w:rsidRPr="000A077B">
        <w:t xml:space="preserve"> </w:t>
      </w:r>
    </w:p>
    <w:p w14:paraId="12388A65" w14:textId="77777777" w:rsidR="00125C4C" w:rsidRPr="00125C4C" w:rsidRDefault="00125C4C" w:rsidP="00125C4C">
      <w:pPr>
        <w:spacing w:before="100" w:beforeAutospacing="1" w:after="100" w:afterAutospacing="1" w:line="360" w:lineRule="auto"/>
        <w:rPr>
          <w:sz w:val="24"/>
          <w:szCs w:val="24"/>
          <w:lang w:eastAsia="fr-FR"/>
        </w:rPr>
      </w:pPr>
      <w:r w:rsidRPr="00125C4C">
        <w:rPr>
          <w:sz w:val="24"/>
          <w:szCs w:val="24"/>
          <w:lang w:eastAsia="fr-FR"/>
        </w:rPr>
        <w:t>La mission de formation se déroulera sur une durée d’une journée, équivalente à huit heures effectives de travail. Cette journée intensive sera structurée de manière à permettre l’alternance entre des séquences théoriques, des ateliers pratiques, des échanges interactifs et des moments de synthèse, afin d’optimiser l’apprentissage et de garantir une réelle appropriation des contenus par les participants.</w:t>
      </w:r>
    </w:p>
    <w:p w14:paraId="1E221085" w14:textId="77777777" w:rsidR="00125C4C" w:rsidRPr="00125C4C" w:rsidRDefault="00125C4C" w:rsidP="00125C4C">
      <w:pPr>
        <w:spacing w:before="100" w:beforeAutospacing="1" w:after="100" w:afterAutospacing="1" w:line="360" w:lineRule="auto"/>
        <w:rPr>
          <w:sz w:val="24"/>
          <w:szCs w:val="24"/>
          <w:lang w:eastAsia="fr-FR"/>
        </w:rPr>
      </w:pPr>
      <w:r w:rsidRPr="00125C4C">
        <w:rPr>
          <w:sz w:val="24"/>
          <w:szCs w:val="24"/>
          <w:lang w:eastAsia="fr-FR"/>
        </w:rPr>
        <w:lastRenderedPageBreak/>
        <w:t>L’ensemble des activités se tiendra au sein de la centrale pédagogique de l’Université de Kairouan, située dans les locaux de la Faculté des Lettres et des Sciences Humaines. Cet espace, spécifiquement dédié aux initiatives pédagogiques et à la formation continue, offre un cadre adéquat en termes de logistique, d’équipements et d’accessibilité pour accueillir les participants dans les meilleures conditions.</w:t>
      </w:r>
    </w:p>
    <w:p w14:paraId="70168C80" w14:textId="4A8B1CC5" w:rsidR="00AF50EC" w:rsidRPr="00AF50EC" w:rsidRDefault="00125C4C" w:rsidP="00125C4C">
      <w:pPr>
        <w:spacing w:before="100" w:beforeAutospacing="1" w:after="100" w:afterAutospacing="1" w:line="360" w:lineRule="auto"/>
        <w:rPr>
          <w:sz w:val="24"/>
          <w:szCs w:val="24"/>
          <w:lang w:eastAsia="fr-FR"/>
        </w:rPr>
      </w:pPr>
      <w:r w:rsidRPr="00125C4C">
        <w:rPr>
          <w:sz w:val="24"/>
          <w:szCs w:val="24"/>
          <w:lang w:eastAsia="fr-FR"/>
        </w:rPr>
        <w:t>La date précise de réalisation de la mission sera définie en concertation avec les parties prenantes lors de la phase de contractualisation. Cette planification concertée permettra de tenir compte des disponibilités des bénéficiaires, des contraintes académiques et logistiques, ainsi que des impératifs liés à la coordination générale du projet. L’objectif est d’assurer un déroulement fluide et optimal de la formation, en garantissant la pleine mobilisation des ressources humaines et matérielles nécessaires à sa réussite.</w:t>
      </w:r>
    </w:p>
    <w:p w14:paraId="3706DCD7" w14:textId="08BB7E80" w:rsidR="005A4C41" w:rsidRDefault="005A4C41" w:rsidP="005A4C41">
      <w:pPr>
        <w:pStyle w:val="Titre1"/>
        <w:rPr>
          <w:shd w:val="clear" w:color="auto" w:fill="FFFFFF"/>
        </w:rPr>
      </w:pPr>
      <w:bookmarkStart w:id="16" w:name="_Toc199170176"/>
      <w:bookmarkStart w:id="17" w:name="_Toc536442294"/>
      <w:bookmarkStart w:id="18" w:name="_Toc88539531"/>
      <w:bookmarkEnd w:id="2"/>
      <w:bookmarkEnd w:id="3"/>
      <w:r w:rsidRPr="005A4C41">
        <w:rPr>
          <w:shd w:val="clear" w:color="auto" w:fill="FFFFFF"/>
        </w:rPr>
        <w:t>PROFIL DU BUREAU</w:t>
      </w:r>
      <w:bookmarkEnd w:id="16"/>
    </w:p>
    <w:p w14:paraId="01FB76CC" w14:textId="77777777" w:rsidR="005A4C41" w:rsidRPr="005A4C41" w:rsidRDefault="005A4C41" w:rsidP="005A4C41">
      <w:pPr>
        <w:ind w:left="720"/>
      </w:pPr>
    </w:p>
    <w:p w14:paraId="3C5F1AC1" w14:textId="77777777" w:rsidR="00011842" w:rsidRPr="00011842" w:rsidRDefault="00011842" w:rsidP="00011842">
      <w:pPr>
        <w:spacing w:line="360" w:lineRule="auto"/>
      </w:pPr>
      <w:r w:rsidRPr="00011842">
        <w:t>Le bureau chargé de la réalisation de cette mission devra répondre à un ensemble de critères qualitatifs et d’exigences spécifiques, garantissant sa capacité à mener à bien les objectifs pédagogiques, techniques et organisationnels attendus dans le cadre du projet « Initiative vers l’excellence » de l’Université de Kairouan.</w:t>
      </w:r>
    </w:p>
    <w:p w14:paraId="27921FE7" w14:textId="77777777" w:rsidR="00011842" w:rsidRPr="00011842" w:rsidRDefault="00011842" w:rsidP="00011842">
      <w:pPr>
        <w:spacing w:line="360" w:lineRule="auto"/>
      </w:pPr>
      <w:r w:rsidRPr="00011842">
        <w:t>Il est attendu en premier lieu que le prestataire justifie d’une expérience avérée dans la mise en œuvre de formations portant sur la pédagogie du projet. Cette expertise devra être étayée par la réalisation d’au moins cinq missions similaires, menées avec succès auprès d’institutions d’enseignement supérieur ou dans des cadres professionnels proches. Cette expérience antérieure constitue un gage de maîtrise des approches actives et des dynamiques d’apprentissage collaboratif au cœur de cette mission.</w:t>
      </w:r>
    </w:p>
    <w:p w14:paraId="2BDEA6D4" w14:textId="77777777" w:rsidR="00011842" w:rsidRPr="00011842" w:rsidRDefault="00011842" w:rsidP="00011842">
      <w:pPr>
        <w:spacing w:line="360" w:lineRule="auto"/>
      </w:pPr>
      <w:r w:rsidRPr="00011842">
        <w:t>Le bureau devra également démontrer une solide connaissance du secteur de l’enseignement supérieur ou de la formation professionnelle, avec un minimum de dix années d’intervention dans ces domaines. Cette longue expérience doit lui permettre de comprendre les enjeux spécifiques liés aux réformes pédagogiques, aux contraintes institutionnelles et aux attentes des acteurs académiques, en particulier dans le contexte tunisien ou dans des environnements similaires.</w:t>
      </w:r>
    </w:p>
    <w:p w14:paraId="17B2D88D" w14:textId="77777777" w:rsidR="00011842" w:rsidRPr="00011842" w:rsidRDefault="00011842" w:rsidP="00011842">
      <w:pPr>
        <w:spacing w:line="360" w:lineRule="auto"/>
      </w:pPr>
      <w:r w:rsidRPr="00011842">
        <w:t>En termes de qualifications, le ou les experts mobilisés par le bureau devront être titulaires d’un doctorat ou d’une habilitation à diriger des recherches (HDR) dans des disciplines pertinentes, telles que la didactique, le management de l’éducation, la gestion de projets pédagogiques ou la formation des adultes. À défaut, un inspecteur principal ayant une expérience confirmée dans la formation des formateurs dans le cadre de l’enseignement supérieur pourra également être éligible, à condition qu’il justifie d’interventions de haut niveau dans des programmes similaires.</w:t>
      </w:r>
    </w:p>
    <w:p w14:paraId="432A6247" w14:textId="77777777" w:rsidR="00011842" w:rsidRPr="00011842" w:rsidRDefault="00011842" w:rsidP="00011842">
      <w:pPr>
        <w:spacing w:line="360" w:lineRule="auto"/>
      </w:pPr>
      <w:r w:rsidRPr="00011842">
        <w:t xml:space="preserve">Enfin, une maîtrise éprouvée des outils de gestion de projet ainsi que des techniques d’animation participative est indispensable. Le bureau devra être en mesure de proposer des méthodologies </w:t>
      </w:r>
      <w:r w:rsidRPr="00011842">
        <w:lastRenderedPageBreak/>
        <w:t>interactives, de mobiliser des supports adaptés et de créer un climat propice à l’échange et à l’apprentissage collectif. Cette capacité à allier rigueur, innovation et participation constituera un élément clé dans la réussite de la formation et dans l’atteinte des résultats escomptés.</w:t>
      </w:r>
    </w:p>
    <w:p w14:paraId="4C091B74" w14:textId="77777777" w:rsidR="00011842" w:rsidRPr="00011842" w:rsidRDefault="00011842" w:rsidP="00011842">
      <w:pPr>
        <w:spacing w:line="360" w:lineRule="auto"/>
      </w:pPr>
      <w:r w:rsidRPr="00011842">
        <w:t>Ainsi, le bureau prestataire devra représenter une alliance équilibrée entre expertise académique, expérience de terrain et compétences techniques, afin d’accompagner efficacement l’Université de Kairouan dans son ambition de transformation pédagogique et de renforcement institutionnel.</w:t>
      </w:r>
    </w:p>
    <w:p w14:paraId="36127B6C" w14:textId="77777777" w:rsidR="005A4C41" w:rsidRPr="005A4C41" w:rsidRDefault="005A4C41" w:rsidP="005A4C41"/>
    <w:p w14:paraId="0219B07E" w14:textId="0AD33144" w:rsidR="00D52965" w:rsidRDefault="00382A1D" w:rsidP="009A5F18">
      <w:pPr>
        <w:pStyle w:val="Titre1"/>
        <w:rPr>
          <w:shd w:val="clear" w:color="auto" w:fill="FFFFFF"/>
        </w:rPr>
      </w:pPr>
      <w:bookmarkStart w:id="19" w:name="_Toc199170177"/>
      <w:r>
        <w:rPr>
          <w:shd w:val="clear" w:color="auto" w:fill="FFFFFF"/>
        </w:rPr>
        <w:t>MODE DE SELECTION ET NEGOCIATION DU CONTRAT</w:t>
      </w:r>
      <w:bookmarkEnd w:id="19"/>
    </w:p>
    <w:p w14:paraId="45BF1702" w14:textId="77777777" w:rsidR="00011842" w:rsidRDefault="00011842" w:rsidP="00011842">
      <w:pPr>
        <w:pStyle w:val="NormalWeb"/>
        <w:spacing w:line="360" w:lineRule="auto"/>
        <w:jc w:val="both"/>
      </w:pPr>
      <w:r>
        <w:t xml:space="preserve">La sélection du bureau prestataire chargé de la mise en œuvre de cette mission se fera selon la méthode </w:t>
      </w:r>
      <w:r w:rsidRPr="00011842">
        <w:t>de Sélection fondée sur les qualifications (QC),</w:t>
      </w:r>
      <w:r>
        <w:t xml:space="preserve"> conformément aux directives en vigueur de la Banque Mondiale, dans le cadre du financement accordé au projet </w:t>
      </w:r>
      <w:proofErr w:type="spellStart"/>
      <w:r>
        <w:t>PromESsE</w:t>
      </w:r>
      <w:proofErr w:type="spellEnd"/>
      <w:r>
        <w:t>/TN. Cette approche vise à garantir la transparence, l’équité et la rigueur dans le choix du prestataire, en mettant l’accent sur l’expertise et la capacité technique à répondre aux exigences spécifiques de la mission.</w:t>
      </w:r>
    </w:p>
    <w:p w14:paraId="4EE27101" w14:textId="1605A125" w:rsidR="00011842" w:rsidRDefault="00011842" w:rsidP="00E25B51">
      <w:pPr>
        <w:pStyle w:val="NormalWeb"/>
        <w:spacing w:line="360" w:lineRule="auto"/>
        <w:jc w:val="both"/>
      </w:pPr>
      <w:r>
        <w:t xml:space="preserve">L’évaluation des </w:t>
      </w:r>
      <w:r w:rsidRPr="00011842">
        <w:t>candidatures portera essentiellement sur deux axes principaux. Le premier critère, représentant</w:t>
      </w:r>
      <w:r w:rsidRPr="00011842">
        <w:rPr>
          <w:b/>
          <w:bCs/>
        </w:rPr>
        <w:t xml:space="preserve"> </w:t>
      </w:r>
      <w:r w:rsidRPr="00011842">
        <w:rPr>
          <w:rStyle w:val="lev"/>
          <w:b w:val="0"/>
          <w:bCs w:val="0"/>
        </w:rPr>
        <w:t>50 % de la note globale</w:t>
      </w:r>
      <w:r w:rsidRPr="00011842">
        <w:t xml:space="preserve">, concernera </w:t>
      </w:r>
      <w:r w:rsidRPr="00011842">
        <w:rPr>
          <w:rStyle w:val="lev"/>
          <w:b w:val="0"/>
          <w:bCs w:val="0"/>
        </w:rPr>
        <w:t>la pertinence de l’expérience du bureau</w:t>
      </w:r>
      <w:r w:rsidRPr="00011842">
        <w:t>. Seront particulièrement valorisées les missions similaires</w:t>
      </w:r>
      <w:r>
        <w:t xml:space="preserve"> antérieurement réalisées, notamment dans le domaine de la pédagogie du projet, de la formation dans l’enseignement supérieur ou de l’accompagnement stratégique d’institutions universitaires. L’ampleur, la diversité et la réussite de ces interventions constitueront des indicateurs déterminants dans l’appréciation de la solidité du candidat.</w:t>
      </w:r>
    </w:p>
    <w:p w14:paraId="601625ED" w14:textId="77777777" w:rsidR="00011842" w:rsidRDefault="00011842" w:rsidP="00011842">
      <w:pPr>
        <w:pStyle w:val="NormalWeb"/>
        <w:spacing w:line="360" w:lineRule="auto"/>
        <w:jc w:val="both"/>
      </w:pPr>
      <w:r>
        <w:t xml:space="preserve">Le second critère, qui comptera pour </w:t>
      </w:r>
      <w:r w:rsidRPr="00011842">
        <w:t>30 % de la note</w:t>
      </w:r>
      <w:r>
        <w:t xml:space="preserve">, portera sur </w:t>
      </w:r>
      <w:r w:rsidRPr="00011842">
        <w:rPr>
          <w:rStyle w:val="lev"/>
          <w:b w:val="0"/>
          <w:bCs w:val="0"/>
        </w:rPr>
        <w:t>la qualité de la proposition technique</w:t>
      </w:r>
      <w:r w:rsidRPr="00011842">
        <w:rPr>
          <w:b/>
          <w:bCs/>
        </w:rPr>
        <w:t>.</w:t>
      </w:r>
      <w:r>
        <w:t xml:space="preserve"> Celle-ci devra démontrer une compréhension fine des objectifs de la mission, une méthodologie claire et structurée, ainsi qu’une organisation cohérente des activités. L’attention sera portée à la capacité du bureau à intégrer des approches pédagogiques actives, à proposer des outils adaptés, et à anticiper les modalités de suivi et d’évaluation de la formation.</w:t>
      </w:r>
    </w:p>
    <w:p w14:paraId="652A5189" w14:textId="62F77E22" w:rsidR="00FE5CEC" w:rsidRDefault="00011842" w:rsidP="00031616">
      <w:pPr>
        <w:pStyle w:val="NormalWeb"/>
        <w:spacing w:line="360" w:lineRule="auto"/>
        <w:jc w:val="both"/>
      </w:pPr>
      <w:r>
        <w:t>À l’issue de cette première phase d’évaluation technique</w:t>
      </w:r>
      <w:r w:rsidRPr="00031616">
        <w:rPr>
          <w:b/>
          <w:bCs/>
        </w:rPr>
        <w:t xml:space="preserve">, </w:t>
      </w:r>
      <w:r w:rsidRPr="00031616">
        <w:rPr>
          <w:rStyle w:val="lev"/>
          <w:b w:val="0"/>
          <w:bCs w:val="0"/>
        </w:rPr>
        <w:t>l’offre jugée la plus pertinente</w:t>
      </w:r>
      <w:r>
        <w:t xml:space="preserve"> sur le plan qualitatif sera </w:t>
      </w:r>
      <w:r w:rsidRPr="00031616">
        <w:rPr>
          <w:rStyle w:val="lev"/>
          <w:b w:val="0"/>
          <w:bCs w:val="0"/>
        </w:rPr>
        <w:t>retenue pour une négociation</w:t>
      </w:r>
      <w:r>
        <w:t xml:space="preserve">, portant à la fois sur les aspects </w:t>
      </w:r>
      <w:r w:rsidRPr="00031616">
        <w:rPr>
          <w:rStyle w:val="lev"/>
          <w:b w:val="0"/>
          <w:bCs w:val="0"/>
        </w:rPr>
        <w:t>techniques et financiers</w:t>
      </w:r>
      <w:r>
        <w:t xml:space="preserve"> du contrat. Cette phase permettra d’ajuster, en concertation avec l’Université de Kairouan, les modalités de mise en œuvre, les livrables attendus, le calendrier d’exécution, ainsi que les coûts associés, dans une logique d’optimisation des ressources et de garantie de performance.</w:t>
      </w:r>
      <w:r w:rsidR="00031616">
        <w:t xml:space="preserve"> </w:t>
      </w:r>
      <w:r w:rsidR="007A449F">
        <w:t>Le barème appliqué sera le suivant :</w:t>
      </w:r>
    </w:p>
    <w:tbl>
      <w:tblPr>
        <w:tblpPr w:leftFromText="141" w:rightFromText="141" w:vertAnchor="text" w:tblpY="-144"/>
        <w:tblW w:w="9639" w:type="dxa"/>
        <w:tblCellSpacing w:w="15" w:type="dxa"/>
        <w:tblCellMar>
          <w:top w:w="15" w:type="dxa"/>
          <w:left w:w="15" w:type="dxa"/>
          <w:bottom w:w="15" w:type="dxa"/>
          <w:right w:w="15" w:type="dxa"/>
        </w:tblCellMar>
        <w:tblLook w:val="04A0" w:firstRow="1" w:lastRow="0" w:firstColumn="1" w:lastColumn="0" w:noHBand="0" w:noVBand="1"/>
      </w:tblPr>
      <w:tblGrid>
        <w:gridCol w:w="2835"/>
        <w:gridCol w:w="5628"/>
        <w:gridCol w:w="1176"/>
      </w:tblGrid>
      <w:tr w:rsidR="00E25B51" w:rsidRPr="00E25B51" w14:paraId="05C9E164" w14:textId="77777777" w:rsidTr="00E25B51">
        <w:trPr>
          <w:tblHeader/>
          <w:tblCellSpacing w:w="15" w:type="dxa"/>
        </w:trPr>
        <w:tc>
          <w:tcPr>
            <w:tcW w:w="2790" w:type="dxa"/>
            <w:shd w:val="clear" w:color="auto" w:fill="EEECE1" w:themeFill="background2"/>
            <w:vAlign w:val="center"/>
            <w:hideMark/>
          </w:tcPr>
          <w:p w14:paraId="43B380E2" w14:textId="77777777" w:rsidR="00E25B51" w:rsidRPr="00031616" w:rsidRDefault="00E25B51" w:rsidP="00E25B51">
            <w:pPr>
              <w:pStyle w:val="NormalWeb"/>
              <w:spacing w:line="360" w:lineRule="auto"/>
              <w:jc w:val="center"/>
              <w:rPr>
                <w:rFonts w:asciiTheme="majorBidi" w:hAnsiTheme="majorBidi" w:cstheme="majorBidi"/>
                <w:b/>
                <w:bCs/>
                <w:sz w:val="22"/>
                <w:szCs w:val="22"/>
              </w:rPr>
            </w:pPr>
            <w:r w:rsidRPr="00031616">
              <w:rPr>
                <w:rFonts w:asciiTheme="majorBidi" w:hAnsiTheme="majorBidi" w:cstheme="majorBidi"/>
                <w:b/>
                <w:bCs/>
                <w:sz w:val="22"/>
                <w:szCs w:val="22"/>
              </w:rPr>
              <w:lastRenderedPageBreak/>
              <w:t>Critère principal</w:t>
            </w:r>
          </w:p>
        </w:tc>
        <w:tc>
          <w:tcPr>
            <w:tcW w:w="5598" w:type="dxa"/>
            <w:shd w:val="clear" w:color="auto" w:fill="EEECE1" w:themeFill="background2"/>
            <w:vAlign w:val="center"/>
            <w:hideMark/>
          </w:tcPr>
          <w:p w14:paraId="586448E0" w14:textId="77777777" w:rsidR="00E25B51" w:rsidRPr="00031616" w:rsidRDefault="00E25B51" w:rsidP="00E25B51">
            <w:pPr>
              <w:pStyle w:val="NormalWeb"/>
              <w:spacing w:line="360" w:lineRule="auto"/>
              <w:jc w:val="center"/>
              <w:rPr>
                <w:rFonts w:asciiTheme="majorBidi" w:hAnsiTheme="majorBidi" w:cstheme="majorBidi"/>
                <w:b/>
                <w:bCs/>
                <w:sz w:val="22"/>
                <w:szCs w:val="22"/>
              </w:rPr>
            </w:pPr>
            <w:r w:rsidRPr="00031616">
              <w:rPr>
                <w:rFonts w:asciiTheme="majorBidi" w:hAnsiTheme="majorBidi" w:cstheme="majorBidi"/>
                <w:b/>
                <w:bCs/>
                <w:sz w:val="22"/>
                <w:szCs w:val="22"/>
              </w:rPr>
              <w:t>Sous-critères</w:t>
            </w:r>
          </w:p>
        </w:tc>
        <w:tc>
          <w:tcPr>
            <w:tcW w:w="1131" w:type="dxa"/>
            <w:shd w:val="clear" w:color="auto" w:fill="EEECE1" w:themeFill="background2"/>
            <w:vAlign w:val="center"/>
            <w:hideMark/>
          </w:tcPr>
          <w:p w14:paraId="1A4C8CFF" w14:textId="77777777" w:rsidR="00E25B51" w:rsidRPr="00031616" w:rsidRDefault="00E25B51" w:rsidP="00E131DA">
            <w:pPr>
              <w:pStyle w:val="NormalWeb"/>
              <w:spacing w:line="360" w:lineRule="auto"/>
              <w:jc w:val="center"/>
              <w:rPr>
                <w:rFonts w:asciiTheme="majorBidi" w:hAnsiTheme="majorBidi" w:cstheme="majorBidi"/>
                <w:b/>
                <w:bCs/>
                <w:sz w:val="22"/>
                <w:szCs w:val="22"/>
              </w:rPr>
            </w:pPr>
            <w:r w:rsidRPr="00031616">
              <w:rPr>
                <w:rFonts w:asciiTheme="majorBidi" w:hAnsiTheme="majorBidi" w:cstheme="majorBidi"/>
                <w:b/>
                <w:bCs/>
                <w:sz w:val="22"/>
                <w:szCs w:val="22"/>
              </w:rPr>
              <w:t>Points</w:t>
            </w:r>
          </w:p>
        </w:tc>
      </w:tr>
      <w:tr w:rsidR="00E25B51" w:rsidRPr="00E25B51" w14:paraId="49D74D2A" w14:textId="77777777" w:rsidTr="00E25B51">
        <w:trPr>
          <w:tblCellSpacing w:w="15" w:type="dxa"/>
        </w:trPr>
        <w:tc>
          <w:tcPr>
            <w:tcW w:w="2790" w:type="dxa"/>
            <w:vMerge w:val="restart"/>
            <w:shd w:val="clear" w:color="auto" w:fill="auto"/>
            <w:vAlign w:val="center"/>
            <w:hideMark/>
          </w:tcPr>
          <w:p w14:paraId="2CD86922" w14:textId="77777777" w:rsidR="00E25B51" w:rsidRPr="00E25B51" w:rsidRDefault="00E25B51" w:rsidP="00E25B51">
            <w:pPr>
              <w:pStyle w:val="NormalWeb"/>
              <w:spacing w:before="0" w:beforeAutospacing="0" w:after="0" w:afterAutospacing="0" w:line="360" w:lineRule="auto"/>
              <w:rPr>
                <w:rFonts w:asciiTheme="majorBidi" w:hAnsiTheme="majorBidi" w:cstheme="majorBidi"/>
                <w:b/>
                <w:bCs/>
                <w:sz w:val="22"/>
                <w:szCs w:val="22"/>
              </w:rPr>
            </w:pPr>
            <w:r w:rsidRPr="00031616">
              <w:rPr>
                <w:rFonts w:asciiTheme="majorBidi" w:hAnsiTheme="majorBidi" w:cstheme="majorBidi"/>
                <w:b/>
                <w:bCs/>
                <w:sz w:val="22"/>
                <w:szCs w:val="22"/>
              </w:rPr>
              <w:t>1. Pertinence de l’expérience</w:t>
            </w:r>
          </w:p>
          <w:p w14:paraId="054612D9" w14:textId="77777777" w:rsidR="00E25B51" w:rsidRPr="00031616" w:rsidRDefault="00E25B51" w:rsidP="00E25B51">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b/>
                <w:bCs/>
                <w:sz w:val="22"/>
                <w:szCs w:val="22"/>
              </w:rPr>
              <w:t>(50 points)</w:t>
            </w:r>
          </w:p>
        </w:tc>
        <w:tc>
          <w:tcPr>
            <w:tcW w:w="5598" w:type="dxa"/>
            <w:shd w:val="clear" w:color="auto" w:fill="auto"/>
            <w:vAlign w:val="center"/>
            <w:hideMark/>
          </w:tcPr>
          <w:p w14:paraId="6C4DCBF9" w14:textId="77777777" w:rsidR="00E25B51" w:rsidRPr="00E25B51" w:rsidRDefault="00E25B51" w:rsidP="00E131DA">
            <w:pPr>
              <w:pStyle w:val="NormalWeb"/>
              <w:spacing w:before="0" w:beforeAutospacing="0" w:after="0" w:afterAutospacing="0"/>
              <w:jc w:val="both"/>
              <w:rPr>
                <w:rFonts w:asciiTheme="majorBidi" w:hAnsiTheme="majorBidi" w:cstheme="majorBidi"/>
                <w:b/>
                <w:bCs/>
                <w:sz w:val="22"/>
                <w:szCs w:val="22"/>
              </w:rPr>
            </w:pPr>
            <w:r w:rsidRPr="00031616">
              <w:rPr>
                <w:rFonts w:asciiTheme="majorBidi" w:hAnsiTheme="majorBidi" w:cstheme="majorBidi"/>
                <w:b/>
                <w:bCs/>
                <w:sz w:val="22"/>
                <w:szCs w:val="22"/>
              </w:rPr>
              <w:t>Nombre de missions similaires réalisées (min. 5 exigées)</w:t>
            </w:r>
            <w:r w:rsidRPr="00E25B51">
              <w:rPr>
                <w:rFonts w:asciiTheme="majorBidi" w:hAnsiTheme="majorBidi" w:cstheme="majorBidi"/>
                <w:b/>
                <w:bCs/>
                <w:sz w:val="22"/>
                <w:szCs w:val="22"/>
              </w:rPr>
              <w:t> :</w:t>
            </w:r>
          </w:p>
          <w:p w14:paraId="7F96F1AF"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5 missions : 10 points</w:t>
            </w:r>
          </w:p>
          <w:p w14:paraId="5CC2CBDF"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6 à 7 missions : 15 points</w:t>
            </w:r>
          </w:p>
          <w:p w14:paraId="3814093F"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 8 missions : 20 points</w:t>
            </w:r>
          </w:p>
        </w:tc>
        <w:tc>
          <w:tcPr>
            <w:tcW w:w="1131" w:type="dxa"/>
            <w:vAlign w:val="center"/>
            <w:hideMark/>
          </w:tcPr>
          <w:p w14:paraId="73B38A8E"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sz w:val="22"/>
                <w:szCs w:val="22"/>
              </w:rPr>
              <w:t>/20</w:t>
            </w:r>
          </w:p>
        </w:tc>
      </w:tr>
      <w:tr w:rsidR="00E25B51" w:rsidRPr="00E25B51" w14:paraId="424CE3DC" w14:textId="77777777" w:rsidTr="00E25B51">
        <w:trPr>
          <w:tblCellSpacing w:w="15" w:type="dxa"/>
        </w:trPr>
        <w:tc>
          <w:tcPr>
            <w:tcW w:w="2790" w:type="dxa"/>
            <w:vMerge/>
            <w:shd w:val="clear" w:color="auto" w:fill="auto"/>
            <w:vAlign w:val="center"/>
            <w:hideMark/>
          </w:tcPr>
          <w:p w14:paraId="63B82D88"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shd w:val="clear" w:color="auto" w:fill="auto"/>
            <w:vAlign w:val="center"/>
            <w:hideMark/>
          </w:tcPr>
          <w:p w14:paraId="2BB79C1D" w14:textId="77777777" w:rsidR="00E25B51" w:rsidRPr="00031616" w:rsidRDefault="00E25B51" w:rsidP="00E131DA">
            <w:pPr>
              <w:pStyle w:val="NormalWeb"/>
              <w:jc w:val="both"/>
              <w:rPr>
                <w:rFonts w:asciiTheme="majorBidi" w:hAnsiTheme="majorBidi" w:cstheme="majorBidi"/>
                <w:sz w:val="22"/>
                <w:szCs w:val="22"/>
              </w:rPr>
            </w:pPr>
          </w:p>
        </w:tc>
        <w:tc>
          <w:tcPr>
            <w:tcW w:w="1131" w:type="dxa"/>
            <w:vAlign w:val="center"/>
            <w:hideMark/>
          </w:tcPr>
          <w:p w14:paraId="3DECD8FB"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542F4D8F" w14:textId="77777777" w:rsidTr="00E25B51">
        <w:trPr>
          <w:tblCellSpacing w:w="15" w:type="dxa"/>
        </w:trPr>
        <w:tc>
          <w:tcPr>
            <w:tcW w:w="2790" w:type="dxa"/>
            <w:vMerge/>
            <w:shd w:val="clear" w:color="auto" w:fill="auto"/>
            <w:vAlign w:val="center"/>
            <w:hideMark/>
          </w:tcPr>
          <w:p w14:paraId="1ACE3E20"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shd w:val="clear" w:color="auto" w:fill="auto"/>
            <w:vAlign w:val="center"/>
            <w:hideMark/>
          </w:tcPr>
          <w:p w14:paraId="753204DF" w14:textId="77777777" w:rsidR="00E25B51" w:rsidRPr="00E25B51" w:rsidRDefault="00E25B51" w:rsidP="00E131DA">
            <w:pPr>
              <w:pStyle w:val="NormalWeb"/>
              <w:spacing w:before="0" w:beforeAutospacing="0" w:after="0" w:afterAutospacing="0"/>
              <w:rPr>
                <w:rFonts w:asciiTheme="majorBidi" w:hAnsiTheme="majorBidi" w:cstheme="majorBidi"/>
                <w:b/>
                <w:bCs/>
                <w:sz w:val="22"/>
                <w:szCs w:val="22"/>
              </w:rPr>
            </w:pPr>
            <w:r w:rsidRPr="00031616">
              <w:rPr>
                <w:rFonts w:asciiTheme="majorBidi" w:hAnsiTheme="majorBidi" w:cstheme="majorBidi"/>
                <w:b/>
                <w:bCs/>
                <w:sz w:val="22"/>
                <w:szCs w:val="22"/>
              </w:rPr>
              <w:t>Ancienneté dans le secteur (enseignement supérieur / formation professionnelle)</w:t>
            </w:r>
            <w:r w:rsidRPr="00E25B51">
              <w:rPr>
                <w:rFonts w:asciiTheme="majorBidi" w:hAnsiTheme="majorBidi" w:cstheme="majorBidi"/>
                <w:b/>
                <w:bCs/>
                <w:sz w:val="22"/>
                <w:szCs w:val="22"/>
              </w:rPr>
              <w:t> :</w:t>
            </w:r>
          </w:p>
          <w:p w14:paraId="1AF1E882"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10 ans : 10 points</w:t>
            </w:r>
          </w:p>
          <w:p w14:paraId="4D7182B1"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11 à 14 ans : 13 points</w:t>
            </w:r>
          </w:p>
          <w:p w14:paraId="16AF9460"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 15 ans : 15 points</w:t>
            </w:r>
          </w:p>
        </w:tc>
        <w:tc>
          <w:tcPr>
            <w:tcW w:w="1131" w:type="dxa"/>
            <w:vAlign w:val="center"/>
            <w:hideMark/>
          </w:tcPr>
          <w:p w14:paraId="68DBD2B5"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sz w:val="22"/>
                <w:szCs w:val="22"/>
              </w:rPr>
              <w:t>/15</w:t>
            </w:r>
          </w:p>
        </w:tc>
      </w:tr>
      <w:tr w:rsidR="00E25B51" w:rsidRPr="00E25B51" w14:paraId="4FAC89DE" w14:textId="77777777" w:rsidTr="00E25B51">
        <w:trPr>
          <w:tblCellSpacing w:w="15" w:type="dxa"/>
        </w:trPr>
        <w:tc>
          <w:tcPr>
            <w:tcW w:w="2790" w:type="dxa"/>
            <w:vMerge/>
            <w:shd w:val="clear" w:color="auto" w:fill="auto"/>
            <w:vAlign w:val="center"/>
            <w:hideMark/>
          </w:tcPr>
          <w:p w14:paraId="35BF3EB1"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shd w:val="clear" w:color="auto" w:fill="auto"/>
            <w:vAlign w:val="center"/>
            <w:hideMark/>
          </w:tcPr>
          <w:p w14:paraId="04D4DAAE"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vAlign w:val="center"/>
            <w:hideMark/>
          </w:tcPr>
          <w:p w14:paraId="74D5F889"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7879999B" w14:textId="77777777" w:rsidTr="00E25B51">
        <w:trPr>
          <w:tblCellSpacing w:w="15" w:type="dxa"/>
        </w:trPr>
        <w:tc>
          <w:tcPr>
            <w:tcW w:w="2790" w:type="dxa"/>
            <w:vMerge/>
            <w:shd w:val="clear" w:color="auto" w:fill="auto"/>
            <w:vAlign w:val="center"/>
            <w:hideMark/>
          </w:tcPr>
          <w:p w14:paraId="2931EB48" w14:textId="77777777" w:rsidR="00E25B51" w:rsidRPr="00031616"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shd w:val="clear" w:color="auto" w:fill="auto"/>
            <w:vAlign w:val="center"/>
            <w:hideMark/>
          </w:tcPr>
          <w:p w14:paraId="7B1BF6A1" w14:textId="77777777" w:rsidR="00E25B51" w:rsidRPr="00E25B51" w:rsidRDefault="00E25B51" w:rsidP="00E131DA">
            <w:pPr>
              <w:pStyle w:val="NormalWeb"/>
              <w:spacing w:before="0" w:beforeAutospacing="0" w:after="0" w:afterAutospacing="0"/>
              <w:rPr>
                <w:rFonts w:asciiTheme="majorBidi" w:hAnsiTheme="majorBidi" w:cstheme="majorBidi"/>
                <w:b/>
                <w:bCs/>
                <w:sz w:val="22"/>
                <w:szCs w:val="22"/>
              </w:rPr>
            </w:pPr>
            <w:r w:rsidRPr="00031616">
              <w:rPr>
                <w:rFonts w:asciiTheme="majorBidi" w:hAnsiTheme="majorBidi" w:cstheme="majorBidi"/>
                <w:b/>
                <w:bCs/>
                <w:sz w:val="22"/>
                <w:szCs w:val="22"/>
              </w:rPr>
              <w:t>Références avec des institutions universitaires tunisiennes ou internationales reconnues</w:t>
            </w:r>
            <w:r w:rsidRPr="00E25B51">
              <w:rPr>
                <w:rFonts w:asciiTheme="majorBidi" w:hAnsiTheme="majorBidi" w:cstheme="majorBidi"/>
                <w:b/>
                <w:bCs/>
                <w:sz w:val="22"/>
                <w:szCs w:val="22"/>
              </w:rPr>
              <w:t> :</w:t>
            </w:r>
          </w:p>
          <w:p w14:paraId="7AD177A5"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Aucune : 0 point</w:t>
            </w:r>
          </w:p>
          <w:p w14:paraId="50E7EA34"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1 à 2 références : 10 points</w:t>
            </w:r>
          </w:p>
          <w:p w14:paraId="6C10B111"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 3 références : 15 points</w:t>
            </w:r>
          </w:p>
        </w:tc>
        <w:tc>
          <w:tcPr>
            <w:tcW w:w="1131" w:type="dxa"/>
            <w:vAlign w:val="center"/>
            <w:hideMark/>
          </w:tcPr>
          <w:p w14:paraId="5765D3C2"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sz w:val="22"/>
                <w:szCs w:val="22"/>
              </w:rPr>
              <w:t>/15</w:t>
            </w:r>
          </w:p>
        </w:tc>
      </w:tr>
      <w:tr w:rsidR="00E25B51" w:rsidRPr="00E25B51" w14:paraId="19D1897A" w14:textId="77777777" w:rsidTr="00E25B51">
        <w:trPr>
          <w:tblCellSpacing w:w="15" w:type="dxa"/>
        </w:trPr>
        <w:tc>
          <w:tcPr>
            <w:tcW w:w="2790" w:type="dxa"/>
            <w:vMerge/>
            <w:vAlign w:val="center"/>
            <w:hideMark/>
          </w:tcPr>
          <w:p w14:paraId="6C06D13B" w14:textId="77777777" w:rsidR="00E25B51" w:rsidRPr="00031616"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vAlign w:val="center"/>
            <w:hideMark/>
          </w:tcPr>
          <w:p w14:paraId="5C95C370"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p>
        </w:tc>
        <w:tc>
          <w:tcPr>
            <w:tcW w:w="1131" w:type="dxa"/>
            <w:vAlign w:val="center"/>
            <w:hideMark/>
          </w:tcPr>
          <w:p w14:paraId="78777507"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p>
        </w:tc>
      </w:tr>
      <w:tr w:rsidR="00E25B51" w:rsidRPr="00E25B51" w14:paraId="09DAE2D4" w14:textId="77777777" w:rsidTr="00E25B51">
        <w:trPr>
          <w:tblCellSpacing w:w="15" w:type="dxa"/>
        </w:trPr>
        <w:tc>
          <w:tcPr>
            <w:tcW w:w="2790" w:type="dxa"/>
            <w:vMerge w:val="restart"/>
            <w:shd w:val="clear" w:color="auto" w:fill="EEECE1" w:themeFill="background2"/>
            <w:hideMark/>
          </w:tcPr>
          <w:p w14:paraId="1693D195" w14:textId="77777777" w:rsidR="00E25B51" w:rsidRPr="00E25B51" w:rsidRDefault="00E25B51" w:rsidP="00E25B51">
            <w:pPr>
              <w:pStyle w:val="NormalWeb"/>
              <w:spacing w:before="0" w:beforeAutospacing="0" w:after="0" w:afterAutospacing="0" w:line="360" w:lineRule="auto"/>
              <w:rPr>
                <w:rFonts w:asciiTheme="majorBidi" w:hAnsiTheme="majorBidi" w:cstheme="majorBidi"/>
                <w:b/>
                <w:bCs/>
                <w:sz w:val="22"/>
                <w:szCs w:val="22"/>
              </w:rPr>
            </w:pPr>
          </w:p>
          <w:p w14:paraId="3FDC06D0" w14:textId="77777777" w:rsidR="00E25B51" w:rsidRPr="00E25B51" w:rsidRDefault="00E25B51" w:rsidP="00E25B51">
            <w:pPr>
              <w:pStyle w:val="NormalWeb"/>
              <w:spacing w:before="0" w:beforeAutospacing="0" w:after="0" w:afterAutospacing="0" w:line="360" w:lineRule="auto"/>
              <w:rPr>
                <w:rFonts w:asciiTheme="majorBidi" w:hAnsiTheme="majorBidi" w:cstheme="majorBidi"/>
                <w:b/>
                <w:bCs/>
                <w:sz w:val="22"/>
                <w:szCs w:val="22"/>
              </w:rPr>
            </w:pPr>
          </w:p>
          <w:p w14:paraId="76FE308D" w14:textId="77777777" w:rsidR="00E25B51" w:rsidRPr="00E25B51" w:rsidRDefault="00E25B51" w:rsidP="00E25B51">
            <w:pPr>
              <w:pStyle w:val="NormalWeb"/>
              <w:spacing w:before="0" w:beforeAutospacing="0" w:after="0" w:afterAutospacing="0" w:line="360" w:lineRule="auto"/>
              <w:rPr>
                <w:rFonts w:asciiTheme="majorBidi" w:hAnsiTheme="majorBidi" w:cstheme="majorBidi"/>
                <w:b/>
                <w:bCs/>
                <w:sz w:val="22"/>
                <w:szCs w:val="22"/>
              </w:rPr>
            </w:pPr>
          </w:p>
          <w:p w14:paraId="10998D02" w14:textId="77777777" w:rsidR="00E25B51" w:rsidRPr="00E25B51" w:rsidRDefault="00E25B51" w:rsidP="00E25B51">
            <w:pPr>
              <w:pStyle w:val="NormalWeb"/>
              <w:spacing w:before="0" w:beforeAutospacing="0" w:after="0" w:afterAutospacing="0" w:line="360" w:lineRule="auto"/>
              <w:rPr>
                <w:rFonts w:asciiTheme="majorBidi" w:hAnsiTheme="majorBidi" w:cstheme="majorBidi"/>
                <w:b/>
                <w:bCs/>
                <w:sz w:val="22"/>
                <w:szCs w:val="22"/>
              </w:rPr>
            </w:pPr>
            <w:r w:rsidRPr="00E25B51">
              <w:rPr>
                <w:rFonts w:asciiTheme="majorBidi" w:hAnsiTheme="majorBidi" w:cstheme="majorBidi"/>
                <w:b/>
                <w:bCs/>
                <w:sz w:val="22"/>
                <w:szCs w:val="22"/>
              </w:rPr>
              <w:t xml:space="preserve">2. </w:t>
            </w:r>
            <w:r w:rsidRPr="00031616">
              <w:rPr>
                <w:rFonts w:asciiTheme="majorBidi" w:hAnsiTheme="majorBidi" w:cstheme="majorBidi"/>
                <w:b/>
                <w:bCs/>
                <w:sz w:val="22"/>
                <w:szCs w:val="22"/>
              </w:rPr>
              <w:t>Proposition technique</w:t>
            </w:r>
          </w:p>
          <w:p w14:paraId="6DC33BE6" w14:textId="77777777" w:rsidR="00E25B51" w:rsidRPr="00031616" w:rsidRDefault="00E25B51" w:rsidP="00E25B51">
            <w:pPr>
              <w:pStyle w:val="NormalWeb"/>
              <w:spacing w:before="0" w:beforeAutospacing="0" w:after="0" w:afterAutospacing="0" w:line="360" w:lineRule="auto"/>
              <w:ind w:left="720"/>
              <w:rPr>
                <w:rFonts w:asciiTheme="majorBidi" w:hAnsiTheme="majorBidi" w:cstheme="majorBidi"/>
                <w:sz w:val="22"/>
                <w:szCs w:val="22"/>
              </w:rPr>
            </w:pPr>
            <w:r w:rsidRPr="00031616">
              <w:rPr>
                <w:rFonts w:asciiTheme="majorBidi" w:hAnsiTheme="majorBidi" w:cstheme="majorBidi"/>
                <w:b/>
                <w:bCs/>
                <w:sz w:val="22"/>
                <w:szCs w:val="22"/>
              </w:rPr>
              <w:t>(30 points)</w:t>
            </w:r>
          </w:p>
        </w:tc>
        <w:tc>
          <w:tcPr>
            <w:tcW w:w="5598" w:type="dxa"/>
            <w:vMerge w:val="restart"/>
            <w:shd w:val="clear" w:color="auto" w:fill="EEECE1" w:themeFill="background2"/>
            <w:vAlign w:val="center"/>
            <w:hideMark/>
          </w:tcPr>
          <w:p w14:paraId="75DDCCE7" w14:textId="77777777" w:rsidR="00E25B51" w:rsidRPr="00E25B51" w:rsidRDefault="00E25B51" w:rsidP="00E25B51">
            <w:pPr>
              <w:pStyle w:val="NormalWeb"/>
              <w:spacing w:before="0" w:beforeAutospacing="0" w:after="0" w:afterAutospacing="0"/>
              <w:rPr>
                <w:rFonts w:asciiTheme="majorBidi" w:hAnsiTheme="majorBidi" w:cstheme="majorBidi"/>
                <w:b/>
                <w:bCs/>
                <w:sz w:val="22"/>
                <w:szCs w:val="22"/>
              </w:rPr>
            </w:pPr>
            <w:r w:rsidRPr="00031616">
              <w:rPr>
                <w:rFonts w:asciiTheme="majorBidi" w:hAnsiTheme="majorBidi" w:cstheme="majorBidi"/>
                <w:b/>
                <w:bCs/>
                <w:sz w:val="22"/>
                <w:szCs w:val="22"/>
              </w:rPr>
              <w:t>Clarté et pertinence de la méthodologie (objectifs, structuration, outils actifs)</w:t>
            </w:r>
            <w:r w:rsidRPr="00E25B51">
              <w:rPr>
                <w:rFonts w:asciiTheme="majorBidi" w:hAnsiTheme="majorBidi" w:cstheme="majorBidi"/>
                <w:b/>
                <w:bCs/>
                <w:sz w:val="22"/>
                <w:szCs w:val="22"/>
              </w:rPr>
              <w:t> :</w:t>
            </w:r>
          </w:p>
          <w:p w14:paraId="590ABEEA"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Méthodologie floue : 5 pts</w:t>
            </w:r>
          </w:p>
          <w:p w14:paraId="0C4B00BC"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Cohérente : 10 pts</w:t>
            </w:r>
          </w:p>
          <w:p w14:paraId="3467EB16"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Très structurée et innovante : 15 pts</w:t>
            </w:r>
          </w:p>
        </w:tc>
        <w:tc>
          <w:tcPr>
            <w:tcW w:w="1131" w:type="dxa"/>
            <w:vAlign w:val="center"/>
            <w:hideMark/>
          </w:tcPr>
          <w:p w14:paraId="11B28D14"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sz w:val="22"/>
                <w:szCs w:val="22"/>
              </w:rPr>
              <w:t>/15</w:t>
            </w:r>
          </w:p>
        </w:tc>
      </w:tr>
      <w:tr w:rsidR="00E25B51" w:rsidRPr="00E25B51" w14:paraId="52E419E7" w14:textId="77777777" w:rsidTr="00E25B51">
        <w:trPr>
          <w:tblCellSpacing w:w="15" w:type="dxa"/>
        </w:trPr>
        <w:tc>
          <w:tcPr>
            <w:tcW w:w="2790" w:type="dxa"/>
            <w:vMerge/>
            <w:shd w:val="clear" w:color="auto" w:fill="EEECE1" w:themeFill="background2"/>
            <w:vAlign w:val="center"/>
            <w:hideMark/>
          </w:tcPr>
          <w:p w14:paraId="2D3C9916"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vMerge/>
            <w:shd w:val="clear" w:color="auto" w:fill="EEECE1" w:themeFill="background2"/>
            <w:vAlign w:val="center"/>
            <w:hideMark/>
          </w:tcPr>
          <w:p w14:paraId="08C9B211"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vAlign w:val="center"/>
            <w:hideMark/>
          </w:tcPr>
          <w:p w14:paraId="3CC0FE2F"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7B8084F9" w14:textId="77777777" w:rsidTr="00E25B51">
        <w:trPr>
          <w:tblCellSpacing w:w="15" w:type="dxa"/>
        </w:trPr>
        <w:tc>
          <w:tcPr>
            <w:tcW w:w="2790" w:type="dxa"/>
            <w:vMerge/>
            <w:shd w:val="clear" w:color="auto" w:fill="EEECE1" w:themeFill="background2"/>
            <w:vAlign w:val="center"/>
            <w:hideMark/>
          </w:tcPr>
          <w:p w14:paraId="13C2A20A"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vMerge/>
            <w:shd w:val="clear" w:color="auto" w:fill="EEECE1" w:themeFill="background2"/>
            <w:vAlign w:val="center"/>
            <w:hideMark/>
          </w:tcPr>
          <w:p w14:paraId="2CCF1B6C"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vAlign w:val="center"/>
            <w:hideMark/>
          </w:tcPr>
          <w:p w14:paraId="205BC425"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28FFD760" w14:textId="77777777" w:rsidTr="00E25B51">
        <w:trPr>
          <w:tblCellSpacing w:w="15" w:type="dxa"/>
        </w:trPr>
        <w:tc>
          <w:tcPr>
            <w:tcW w:w="2790" w:type="dxa"/>
            <w:vMerge/>
            <w:shd w:val="clear" w:color="auto" w:fill="EEECE1" w:themeFill="background2"/>
            <w:vAlign w:val="center"/>
            <w:hideMark/>
          </w:tcPr>
          <w:p w14:paraId="0C7A33E1"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vMerge/>
            <w:shd w:val="clear" w:color="auto" w:fill="EEECE1" w:themeFill="background2"/>
            <w:vAlign w:val="center"/>
            <w:hideMark/>
          </w:tcPr>
          <w:p w14:paraId="4724F61C"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vAlign w:val="center"/>
            <w:hideMark/>
          </w:tcPr>
          <w:p w14:paraId="700272ED"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729CDA9B" w14:textId="77777777" w:rsidTr="00E25B51">
        <w:trPr>
          <w:tblCellSpacing w:w="15" w:type="dxa"/>
        </w:trPr>
        <w:tc>
          <w:tcPr>
            <w:tcW w:w="2790" w:type="dxa"/>
            <w:vMerge/>
            <w:shd w:val="clear" w:color="auto" w:fill="EEECE1" w:themeFill="background2"/>
            <w:vAlign w:val="center"/>
          </w:tcPr>
          <w:p w14:paraId="79F6394A" w14:textId="77777777" w:rsidR="00E25B51" w:rsidRPr="00E25B51"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shd w:val="clear" w:color="auto" w:fill="EEECE1" w:themeFill="background2"/>
            <w:vAlign w:val="center"/>
          </w:tcPr>
          <w:p w14:paraId="7600CDA8" w14:textId="77777777" w:rsidR="00E25B51" w:rsidRPr="00E25B51" w:rsidRDefault="00E25B51" w:rsidP="00E131DA">
            <w:pPr>
              <w:pStyle w:val="NormalWeb"/>
              <w:spacing w:before="0" w:beforeAutospacing="0" w:after="0" w:afterAutospacing="0"/>
              <w:rPr>
                <w:rFonts w:asciiTheme="majorBidi" w:hAnsiTheme="majorBidi" w:cstheme="majorBidi"/>
                <w:b/>
                <w:bCs/>
                <w:sz w:val="22"/>
                <w:szCs w:val="22"/>
              </w:rPr>
            </w:pPr>
            <w:r w:rsidRPr="00E25B51">
              <w:rPr>
                <w:rFonts w:asciiTheme="majorBidi" w:hAnsiTheme="majorBidi" w:cstheme="majorBidi"/>
                <w:b/>
                <w:bCs/>
                <w:sz w:val="22"/>
                <w:szCs w:val="22"/>
              </w:rPr>
              <w:t>Adéquation des outils pédagogiques (guides, études de cas, supports numériques, ateliers) :</w:t>
            </w:r>
          </w:p>
          <w:p w14:paraId="17DE96F3" w14:textId="77777777" w:rsidR="00E25B51" w:rsidRPr="00E25B51" w:rsidRDefault="00E25B51" w:rsidP="00E131DA">
            <w:pPr>
              <w:pStyle w:val="NormalWeb"/>
              <w:spacing w:before="0" w:beforeAutospacing="0" w:after="0" w:afterAutospacing="0"/>
              <w:rPr>
                <w:rFonts w:asciiTheme="majorBidi" w:hAnsiTheme="majorBidi" w:cstheme="majorBidi"/>
                <w:sz w:val="22"/>
                <w:szCs w:val="22"/>
              </w:rPr>
            </w:pPr>
            <w:r w:rsidRPr="00E25B51">
              <w:rPr>
                <w:rFonts w:asciiTheme="majorBidi" w:hAnsiTheme="majorBidi" w:cstheme="majorBidi"/>
                <w:sz w:val="22"/>
                <w:szCs w:val="22"/>
              </w:rPr>
              <w:t>– Moyennement adaptés : 5 pts</w:t>
            </w:r>
          </w:p>
          <w:p w14:paraId="5151B7ED" w14:textId="77777777" w:rsidR="00E25B51" w:rsidRPr="00E25B51" w:rsidRDefault="00E25B51" w:rsidP="00E131DA">
            <w:pPr>
              <w:pStyle w:val="NormalWeb"/>
              <w:spacing w:before="0" w:beforeAutospacing="0" w:after="0" w:afterAutospacing="0"/>
              <w:rPr>
                <w:rFonts w:asciiTheme="majorBidi" w:hAnsiTheme="majorBidi" w:cstheme="majorBidi"/>
                <w:sz w:val="22"/>
                <w:szCs w:val="22"/>
              </w:rPr>
            </w:pPr>
            <w:r w:rsidRPr="00E25B51">
              <w:rPr>
                <w:rFonts w:asciiTheme="majorBidi" w:hAnsiTheme="majorBidi" w:cstheme="majorBidi"/>
                <w:sz w:val="22"/>
                <w:szCs w:val="22"/>
              </w:rPr>
              <w:t>– Adaptés : 8 pts</w:t>
            </w:r>
          </w:p>
          <w:p w14:paraId="4709DC29"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E25B51">
              <w:rPr>
                <w:rFonts w:asciiTheme="majorBidi" w:hAnsiTheme="majorBidi" w:cstheme="majorBidi"/>
                <w:sz w:val="22"/>
                <w:szCs w:val="22"/>
              </w:rPr>
              <w:t>– Très adaptés : 10 pts</w:t>
            </w:r>
          </w:p>
        </w:tc>
        <w:tc>
          <w:tcPr>
            <w:tcW w:w="1131" w:type="dxa"/>
            <w:vAlign w:val="center"/>
          </w:tcPr>
          <w:p w14:paraId="604FDB4C" w14:textId="77777777" w:rsidR="00E25B51" w:rsidRPr="00E25B51" w:rsidRDefault="00E25B51" w:rsidP="00E131DA">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sz w:val="22"/>
                <w:szCs w:val="22"/>
              </w:rPr>
              <w:t>/10</w:t>
            </w:r>
          </w:p>
        </w:tc>
      </w:tr>
      <w:tr w:rsidR="00E25B51" w:rsidRPr="00E25B51" w14:paraId="7B5D5D36" w14:textId="77777777" w:rsidTr="00E25B51">
        <w:trPr>
          <w:tblCellSpacing w:w="15" w:type="dxa"/>
        </w:trPr>
        <w:tc>
          <w:tcPr>
            <w:tcW w:w="2790" w:type="dxa"/>
            <w:vMerge/>
            <w:shd w:val="clear" w:color="auto" w:fill="EEECE1" w:themeFill="background2"/>
            <w:vAlign w:val="center"/>
            <w:hideMark/>
          </w:tcPr>
          <w:p w14:paraId="067B7103" w14:textId="77777777" w:rsidR="00E25B51" w:rsidRPr="00031616"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shd w:val="clear" w:color="auto" w:fill="EEECE1" w:themeFill="background2"/>
            <w:vAlign w:val="center"/>
            <w:hideMark/>
          </w:tcPr>
          <w:p w14:paraId="48AB2794" w14:textId="77777777" w:rsidR="00E25B51" w:rsidRPr="00E25B51" w:rsidRDefault="00E25B51" w:rsidP="00E131DA">
            <w:pPr>
              <w:pStyle w:val="NormalWeb"/>
              <w:spacing w:before="0" w:beforeAutospacing="0" w:after="0" w:afterAutospacing="0"/>
              <w:jc w:val="both"/>
              <w:rPr>
                <w:rFonts w:asciiTheme="majorBidi" w:hAnsiTheme="majorBidi" w:cstheme="majorBidi"/>
                <w:b/>
                <w:bCs/>
                <w:sz w:val="22"/>
                <w:szCs w:val="22"/>
              </w:rPr>
            </w:pPr>
            <w:r w:rsidRPr="00031616">
              <w:rPr>
                <w:rFonts w:asciiTheme="majorBidi" w:hAnsiTheme="majorBidi" w:cstheme="majorBidi"/>
                <w:b/>
                <w:bCs/>
                <w:sz w:val="22"/>
                <w:szCs w:val="22"/>
              </w:rPr>
              <w:t>Approche participative et évaluation intégrée</w:t>
            </w:r>
            <w:r w:rsidRPr="00E25B51">
              <w:rPr>
                <w:rFonts w:asciiTheme="majorBidi" w:hAnsiTheme="majorBidi" w:cstheme="majorBidi"/>
                <w:b/>
                <w:bCs/>
                <w:sz w:val="22"/>
                <w:szCs w:val="22"/>
              </w:rPr>
              <w:t> :</w:t>
            </w:r>
          </w:p>
          <w:p w14:paraId="691A280A"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Absente : 0 pt</w:t>
            </w:r>
          </w:p>
          <w:p w14:paraId="2B7EE838"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Présente mais peu détaillée : 3 pts</w:t>
            </w:r>
          </w:p>
          <w:p w14:paraId="3E9F64FD"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Bien intégrée : 5 pts</w:t>
            </w:r>
          </w:p>
        </w:tc>
        <w:tc>
          <w:tcPr>
            <w:tcW w:w="1131" w:type="dxa"/>
            <w:vAlign w:val="center"/>
            <w:hideMark/>
          </w:tcPr>
          <w:p w14:paraId="03F2240B"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sz w:val="22"/>
                <w:szCs w:val="22"/>
              </w:rPr>
              <w:t>/5</w:t>
            </w:r>
          </w:p>
        </w:tc>
      </w:tr>
      <w:tr w:rsidR="00E25B51" w:rsidRPr="00E25B51" w14:paraId="0236384E" w14:textId="77777777" w:rsidTr="00E25B51">
        <w:trPr>
          <w:tblCellSpacing w:w="15" w:type="dxa"/>
        </w:trPr>
        <w:tc>
          <w:tcPr>
            <w:tcW w:w="2790" w:type="dxa"/>
            <w:vMerge/>
            <w:vAlign w:val="center"/>
            <w:hideMark/>
          </w:tcPr>
          <w:p w14:paraId="47CDC8B1" w14:textId="77777777" w:rsidR="00E25B51" w:rsidRPr="00031616"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vAlign w:val="center"/>
            <w:hideMark/>
          </w:tcPr>
          <w:p w14:paraId="3C9913AE"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p>
        </w:tc>
        <w:tc>
          <w:tcPr>
            <w:tcW w:w="1131" w:type="dxa"/>
            <w:vAlign w:val="center"/>
            <w:hideMark/>
          </w:tcPr>
          <w:p w14:paraId="5794CAD5"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p>
        </w:tc>
      </w:tr>
      <w:tr w:rsidR="00E25B51" w:rsidRPr="00E25B51" w14:paraId="7611AE2D" w14:textId="77777777" w:rsidTr="00E25B51">
        <w:trPr>
          <w:tblCellSpacing w:w="15" w:type="dxa"/>
        </w:trPr>
        <w:tc>
          <w:tcPr>
            <w:tcW w:w="2790" w:type="dxa"/>
            <w:vMerge w:val="restart"/>
            <w:vAlign w:val="center"/>
            <w:hideMark/>
          </w:tcPr>
          <w:p w14:paraId="751AC387" w14:textId="77777777" w:rsidR="00E25B51" w:rsidRPr="00E25B51" w:rsidRDefault="00E25B51" w:rsidP="00E25B51">
            <w:pPr>
              <w:pStyle w:val="NormalWeb"/>
              <w:numPr>
                <w:ilvl w:val="0"/>
                <w:numId w:val="67"/>
              </w:numPr>
              <w:tabs>
                <w:tab w:val="clear" w:pos="720"/>
                <w:tab w:val="num" w:pos="0"/>
                <w:tab w:val="left" w:pos="285"/>
              </w:tabs>
              <w:spacing w:before="0" w:beforeAutospacing="0" w:after="0" w:afterAutospacing="0" w:line="360" w:lineRule="auto"/>
              <w:ind w:left="-45" w:firstLine="45"/>
              <w:rPr>
                <w:rFonts w:asciiTheme="majorBidi" w:hAnsiTheme="majorBidi" w:cstheme="majorBidi"/>
                <w:b/>
                <w:bCs/>
                <w:sz w:val="22"/>
                <w:szCs w:val="22"/>
              </w:rPr>
            </w:pPr>
            <w:r w:rsidRPr="00031616">
              <w:rPr>
                <w:rFonts w:asciiTheme="majorBidi" w:hAnsiTheme="majorBidi" w:cstheme="majorBidi"/>
                <w:b/>
                <w:bCs/>
                <w:sz w:val="22"/>
                <w:szCs w:val="22"/>
              </w:rPr>
              <w:t>Qualification de l’expert</w:t>
            </w:r>
          </w:p>
          <w:p w14:paraId="1ECBFEEB" w14:textId="77777777" w:rsidR="00E25B51" w:rsidRPr="00031616" w:rsidRDefault="00E25B51" w:rsidP="00E25B51">
            <w:pPr>
              <w:pStyle w:val="NormalWeb"/>
              <w:tabs>
                <w:tab w:val="left" w:pos="285"/>
              </w:tabs>
              <w:spacing w:before="0" w:beforeAutospacing="0" w:after="0" w:afterAutospacing="0" w:line="360" w:lineRule="auto"/>
              <w:jc w:val="center"/>
              <w:rPr>
                <w:rFonts w:asciiTheme="majorBidi" w:hAnsiTheme="majorBidi" w:cstheme="majorBidi"/>
                <w:b/>
                <w:bCs/>
                <w:sz w:val="22"/>
                <w:szCs w:val="22"/>
              </w:rPr>
            </w:pPr>
            <w:r w:rsidRPr="00031616">
              <w:rPr>
                <w:rFonts w:asciiTheme="majorBidi" w:hAnsiTheme="majorBidi" w:cstheme="majorBidi"/>
                <w:b/>
                <w:bCs/>
                <w:sz w:val="22"/>
                <w:szCs w:val="22"/>
              </w:rPr>
              <w:t>(10 points)</w:t>
            </w:r>
          </w:p>
        </w:tc>
        <w:tc>
          <w:tcPr>
            <w:tcW w:w="5598" w:type="dxa"/>
            <w:vAlign w:val="center"/>
            <w:hideMark/>
          </w:tcPr>
          <w:p w14:paraId="12FF44EE" w14:textId="77777777" w:rsidR="00E25B51" w:rsidRPr="00E25B51" w:rsidRDefault="00E25B51" w:rsidP="00E131DA">
            <w:pPr>
              <w:pStyle w:val="NormalWeb"/>
              <w:spacing w:before="0" w:beforeAutospacing="0" w:after="0" w:afterAutospacing="0"/>
              <w:rPr>
                <w:rFonts w:asciiTheme="majorBidi" w:hAnsiTheme="majorBidi" w:cstheme="majorBidi"/>
                <w:b/>
                <w:bCs/>
                <w:sz w:val="22"/>
                <w:szCs w:val="22"/>
              </w:rPr>
            </w:pPr>
            <w:r w:rsidRPr="00031616">
              <w:rPr>
                <w:rFonts w:asciiTheme="majorBidi" w:hAnsiTheme="majorBidi" w:cstheme="majorBidi"/>
                <w:b/>
                <w:bCs/>
                <w:sz w:val="22"/>
                <w:szCs w:val="22"/>
              </w:rPr>
              <w:t>Diplômes (Doctorat, HDR ou inspecteur principal + domaine pertinent)</w:t>
            </w:r>
            <w:r w:rsidRPr="00E25B51">
              <w:rPr>
                <w:rFonts w:asciiTheme="majorBidi" w:hAnsiTheme="majorBidi" w:cstheme="majorBidi"/>
                <w:b/>
                <w:bCs/>
                <w:sz w:val="22"/>
                <w:szCs w:val="22"/>
              </w:rPr>
              <w:t> :</w:t>
            </w:r>
          </w:p>
          <w:p w14:paraId="660423D8" w14:textId="77777777" w:rsidR="00E25B51" w:rsidRPr="00031616" w:rsidRDefault="00E25B51" w:rsidP="00E131DA">
            <w:pPr>
              <w:pStyle w:val="NormalWeb"/>
              <w:spacing w:before="0" w:beforeAutospacing="0" w:after="0" w:afterAutospacing="0"/>
              <w:rPr>
                <w:rFonts w:asciiTheme="majorBidi" w:hAnsiTheme="majorBidi" w:cstheme="majorBidi"/>
                <w:sz w:val="22"/>
                <w:szCs w:val="22"/>
              </w:rPr>
            </w:pPr>
            <w:r w:rsidRPr="00E25B51">
              <w:rPr>
                <w:rFonts w:asciiTheme="majorBidi" w:hAnsiTheme="majorBidi" w:cstheme="majorBidi"/>
                <w:sz w:val="22"/>
                <w:szCs w:val="22"/>
              </w:rPr>
              <w:t>– Diplôme partiellement pertinent : 3 pts</w:t>
            </w:r>
            <w:r w:rsidRPr="00E25B51">
              <w:rPr>
                <w:rFonts w:asciiTheme="majorBidi" w:hAnsiTheme="majorBidi" w:cstheme="majorBidi"/>
                <w:sz w:val="22"/>
                <w:szCs w:val="22"/>
              </w:rPr>
              <w:br/>
              <w:t>– Diplôme pertinent : 5 pts</w:t>
            </w:r>
          </w:p>
        </w:tc>
        <w:tc>
          <w:tcPr>
            <w:tcW w:w="1131" w:type="dxa"/>
            <w:vAlign w:val="center"/>
            <w:hideMark/>
          </w:tcPr>
          <w:p w14:paraId="47DFF6F3"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sz w:val="22"/>
                <w:szCs w:val="22"/>
              </w:rPr>
              <w:t>/5</w:t>
            </w:r>
          </w:p>
        </w:tc>
      </w:tr>
      <w:tr w:rsidR="00E25B51" w:rsidRPr="00E25B51" w14:paraId="592197A3" w14:textId="77777777" w:rsidTr="00E25B51">
        <w:trPr>
          <w:tblCellSpacing w:w="15" w:type="dxa"/>
        </w:trPr>
        <w:tc>
          <w:tcPr>
            <w:tcW w:w="2790" w:type="dxa"/>
            <w:vMerge/>
            <w:vAlign w:val="center"/>
            <w:hideMark/>
          </w:tcPr>
          <w:p w14:paraId="1F53F5C0" w14:textId="77777777" w:rsidR="00E25B51" w:rsidRPr="00031616" w:rsidRDefault="00E25B51" w:rsidP="00E25B51">
            <w:pPr>
              <w:pStyle w:val="NormalWeb"/>
              <w:spacing w:before="0" w:beforeAutospacing="0" w:after="0" w:afterAutospacing="0" w:line="360" w:lineRule="auto"/>
              <w:rPr>
                <w:rFonts w:asciiTheme="majorBidi" w:hAnsiTheme="majorBidi" w:cstheme="majorBidi"/>
                <w:sz w:val="22"/>
                <w:szCs w:val="22"/>
              </w:rPr>
            </w:pPr>
          </w:p>
        </w:tc>
        <w:tc>
          <w:tcPr>
            <w:tcW w:w="5598" w:type="dxa"/>
            <w:vAlign w:val="center"/>
            <w:hideMark/>
          </w:tcPr>
          <w:p w14:paraId="730794E6"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p>
        </w:tc>
        <w:tc>
          <w:tcPr>
            <w:tcW w:w="1131" w:type="dxa"/>
            <w:vAlign w:val="center"/>
            <w:hideMark/>
          </w:tcPr>
          <w:p w14:paraId="04E826B5" w14:textId="77777777" w:rsidR="00E25B51" w:rsidRPr="00031616" w:rsidRDefault="00E25B51" w:rsidP="00E131DA">
            <w:pPr>
              <w:pStyle w:val="NormalWeb"/>
              <w:spacing w:before="0" w:beforeAutospacing="0" w:after="0" w:afterAutospacing="0" w:line="360" w:lineRule="auto"/>
              <w:jc w:val="center"/>
              <w:rPr>
                <w:rFonts w:asciiTheme="majorBidi" w:hAnsiTheme="majorBidi" w:cstheme="majorBidi"/>
                <w:sz w:val="22"/>
                <w:szCs w:val="22"/>
              </w:rPr>
            </w:pPr>
          </w:p>
        </w:tc>
      </w:tr>
      <w:tr w:rsidR="00E25B51" w:rsidRPr="00E25B51" w14:paraId="1D0A4DAA" w14:textId="77777777" w:rsidTr="00E25B51">
        <w:trPr>
          <w:tblCellSpacing w:w="15" w:type="dxa"/>
        </w:trPr>
        <w:tc>
          <w:tcPr>
            <w:tcW w:w="2790" w:type="dxa"/>
            <w:vMerge/>
            <w:vAlign w:val="center"/>
            <w:hideMark/>
          </w:tcPr>
          <w:p w14:paraId="78C336A8"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vAlign w:val="center"/>
            <w:hideMark/>
          </w:tcPr>
          <w:p w14:paraId="7414C131" w14:textId="77777777" w:rsidR="00E25B51" w:rsidRPr="00E25B51" w:rsidRDefault="00E25B51" w:rsidP="00E131DA">
            <w:pPr>
              <w:pStyle w:val="NormalWeb"/>
              <w:spacing w:before="0" w:beforeAutospacing="0" w:after="0" w:afterAutospacing="0"/>
              <w:rPr>
                <w:rFonts w:asciiTheme="majorBidi" w:hAnsiTheme="majorBidi" w:cstheme="majorBidi"/>
                <w:b/>
                <w:bCs/>
                <w:sz w:val="22"/>
                <w:szCs w:val="22"/>
              </w:rPr>
            </w:pPr>
            <w:r w:rsidRPr="00E25B51">
              <w:rPr>
                <w:rFonts w:asciiTheme="majorBidi" w:hAnsiTheme="majorBidi" w:cstheme="majorBidi"/>
                <w:b/>
                <w:bCs/>
                <w:sz w:val="22"/>
                <w:szCs w:val="22"/>
              </w:rPr>
              <w:t>Expérience dans la formation de formateurs :</w:t>
            </w:r>
          </w:p>
          <w:p w14:paraId="5B445FDF"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&lt; 3 ans : 2 pts</w:t>
            </w:r>
          </w:p>
          <w:p w14:paraId="691EDD94"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3 à 5 ans : 4 pts</w:t>
            </w:r>
          </w:p>
          <w:p w14:paraId="6027625C" w14:textId="77777777" w:rsidR="00E25B51" w:rsidRPr="00031616" w:rsidRDefault="00E25B51" w:rsidP="00E131DA">
            <w:pPr>
              <w:pStyle w:val="NormalWeb"/>
              <w:spacing w:before="0" w:beforeAutospacing="0" w:after="0" w:afterAutospacing="0"/>
              <w:jc w:val="both"/>
              <w:rPr>
                <w:rFonts w:asciiTheme="majorBidi" w:hAnsiTheme="majorBidi" w:cstheme="majorBidi"/>
                <w:b/>
                <w:bCs/>
                <w:sz w:val="22"/>
                <w:szCs w:val="22"/>
              </w:rPr>
            </w:pPr>
            <w:r w:rsidRPr="00031616">
              <w:rPr>
                <w:rFonts w:asciiTheme="majorBidi" w:hAnsiTheme="majorBidi" w:cstheme="majorBidi"/>
                <w:sz w:val="22"/>
                <w:szCs w:val="22"/>
              </w:rPr>
              <w:t>– &gt; 5 ans : 5 pts</w:t>
            </w:r>
          </w:p>
        </w:tc>
        <w:tc>
          <w:tcPr>
            <w:tcW w:w="1131" w:type="dxa"/>
            <w:vAlign w:val="center"/>
            <w:hideMark/>
          </w:tcPr>
          <w:p w14:paraId="61F55D54"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sz w:val="22"/>
                <w:szCs w:val="22"/>
              </w:rPr>
              <w:t>/5</w:t>
            </w:r>
          </w:p>
        </w:tc>
      </w:tr>
      <w:tr w:rsidR="00E25B51" w:rsidRPr="00E25B51" w14:paraId="0B24BF47" w14:textId="77777777" w:rsidTr="00E25B51">
        <w:trPr>
          <w:tblCellSpacing w:w="15" w:type="dxa"/>
        </w:trPr>
        <w:tc>
          <w:tcPr>
            <w:tcW w:w="2790" w:type="dxa"/>
            <w:shd w:val="clear" w:color="auto" w:fill="EEECE1" w:themeFill="background2"/>
            <w:vAlign w:val="center"/>
            <w:hideMark/>
          </w:tcPr>
          <w:p w14:paraId="3784648A" w14:textId="77777777" w:rsidR="00E25B51" w:rsidRDefault="00E25B51" w:rsidP="00E25B51">
            <w:pPr>
              <w:pStyle w:val="NormalWeb"/>
              <w:spacing w:before="0" w:beforeAutospacing="0" w:after="0" w:afterAutospacing="0" w:line="360" w:lineRule="auto"/>
              <w:rPr>
                <w:rFonts w:asciiTheme="majorBidi" w:hAnsiTheme="majorBidi" w:cstheme="majorBidi"/>
                <w:b/>
                <w:bCs/>
                <w:sz w:val="22"/>
                <w:szCs w:val="22"/>
              </w:rPr>
            </w:pPr>
            <w:r w:rsidRPr="00031616">
              <w:rPr>
                <w:rFonts w:asciiTheme="majorBidi" w:hAnsiTheme="majorBidi" w:cstheme="majorBidi"/>
                <w:b/>
                <w:bCs/>
                <w:sz w:val="22"/>
                <w:szCs w:val="22"/>
              </w:rPr>
              <w:t xml:space="preserve">4. Capacité logistique </w:t>
            </w:r>
          </w:p>
          <w:p w14:paraId="2F5226AF" w14:textId="4DC27161" w:rsidR="00E25B51" w:rsidRPr="00031616" w:rsidRDefault="00E25B51" w:rsidP="00E25B51">
            <w:pPr>
              <w:pStyle w:val="NormalWeb"/>
              <w:spacing w:before="0" w:beforeAutospacing="0" w:after="0" w:afterAutospacing="0" w:line="360" w:lineRule="auto"/>
              <w:jc w:val="center"/>
              <w:rPr>
                <w:rFonts w:asciiTheme="majorBidi" w:hAnsiTheme="majorBidi" w:cstheme="majorBidi"/>
                <w:sz w:val="22"/>
                <w:szCs w:val="22"/>
              </w:rPr>
            </w:pPr>
            <w:r w:rsidRPr="00031616">
              <w:rPr>
                <w:rFonts w:asciiTheme="majorBidi" w:hAnsiTheme="majorBidi" w:cstheme="majorBidi"/>
                <w:b/>
                <w:bCs/>
                <w:sz w:val="22"/>
                <w:szCs w:val="22"/>
              </w:rPr>
              <w:t>(10 points)</w:t>
            </w:r>
          </w:p>
        </w:tc>
        <w:tc>
          <w:tcPr>
            <w:tcW w:w="5598" w:type="dxa"/>
            <w:shd w:val="clear" w:color="auto" w:fill="EEECE1" w:themeFill="background2"/>
            <w:vAlign w:val="center"/>
            <w:hideMark/>
          </w:tcPr>
          <w:p w14:paraId="7DA2DCB0" w14:textId="77777777" w:rsidR="00E25B51" w:rsidRPr="00E25B51" w:rsidRDefault="00E25B51" w:rsidP="00E25B51">
            <w:pPr>
              <w:pStyle w:val="NormalWeb"/>
              <w:spacing w:before="0" w:beforeAutospacing="0" w:after="0" w:afterAutospacing="0" w:line="360" w:lineRule="auto"/>
              <w:rPr>
                <w:rFonts w:asciiTheme="majorBidi" w:hAnsiTheme="majorBidi" w:cstheme="majorBidi"/>
                <w:sz w:val="22"/>
                <w:szCs w:val="22"/>
              </w:rPr>
            </w:pPr>
            <w:r w:rsidRPr="00031616">
              <w:rPr>
                <w:rFonts w:asciiTheme="majorBidi" w:hAnsiTheme="majorBidi" w:cstheme="majorBidi"/>
                <w:b/>
                <w:bCs/>
                <w:sz w:val="22"/>
                <w:szCs w:val="22"/>
              </w:rPr>
              <w:t>Moyens matériels, capacité à gérer logistique</w:t>
            </w:r>
            <w:r w:rsidRPr="00031616">
              <w:rPr>
                <w:rFonts w:asciiTheme="majorBidi" w:hAnsiTheme="majorBidi" w:cstheme="majorBidi"/>
                <w:sz w:val="22"/>
                <w:szCs w:val="22"/>
              </w:rPr>
              <w:t xml:space="preserve"> (supports, pauses, hébergement, trophées, etc.)</w:t>
            </w:r>
          </w:p>
          <w:p w14:paraId="6BF95953"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Faible : 4 pts</w:t>
            </w:r>
          </w:p>
          <w:p w14:paraId="57E4BC10" w14:textId="77777777" w:rsidR="00E25B51" w:rsidRPr="00E25B51"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Moyenne : 7 pts</w:t>
            </w:r>
          </w:p>
          <w:p w14:paraId="7D0F95D7" w14:textId="77777777" w:rsidR="00E25B51" w:rsidRPr="00031616" w:rsidRDefault="00E25B51" w:rsidP="00E131DA">
            <w:pPr>
              <w:pStyle w:val="NormalWeb"/>
              <w:spacing w:before="0" w:beforeAutospacing="0" w:after="0" w:afterAutospacing="0"/>
              <w:jc w:val="both"/>
              <w:rPr>
                <w:rFonts w:asciiTheme="majorBidi" w:hAnsiTheme="majorBidi" w:cstheme="majorBidi"/>
                <w:sz w:val="22"/>
                <w:szCs w:val="22"/>
              </w:rPr>
            </w:pPr>
            <w:r w:rsidRPr="00031616">
              <w:rPr>
                <w:rFonts w:asciiTheme="majorBidi" w:hAnsiTheme="majorBidi" w:cstheme="majorBidi"/>
                <w:sz w:val="22"/>
                <w:szCs w:val="22"/>
              </w:rPr>
              <w:t>– Excellente et détaillée : 10 pts</w:t>
            </w:r>
          </w:p>
        </w:tc>
        <w:tc>
          <w:tcPr>
            <w:tcW w:w="1131" w:type="dxa"/>
            <w:shd w:val="clear" w:color="auto" w:fill="EEECE1" w:themeFill="background2"/>
            <w:vAlign w:val="center"/>
            <w:hideMark/>
          </w:tcPr>
          <w:p w14:paraId="59F445C0"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sz w:val="22"/>
                <w:szCs w:val="22"/>
              </w:rPr>
              <w:t>/10</w:t>
            </w:r>
          </w:p>
        </w:tc>
      </w:tr>
      <w:tr w:rsidR="00E25B51" w:rsidRPr="00E25B51" w14:paraId="15DA1F4D" w14:textId="77777777" w:rsidTr="00E25B51">
        <w:trPr>
          <w:tblCellSpacing w:w="15" w:type="dxa"/>
        </w:trPr>
        <w:tc>
          <w:tcPr>
            <w:tcW w:w="2790" w:type="dxa"/>
            <w:shd w:val="clear" w:color="auto" w:fill="EEECE1" w:themeFill="background2"/>
            <w:vAlign w:val="center"/>
            <w:hideMark/>
          </w:tcPr>
          <w:p w14:paraId="1BCAC92F" w14:textId="77777777" w:rsidR="00E25B51" w:rsidRPr="00031616" w:rsidRDefault="00E25B51" w:rsidP="00E25B51">
            <w:pPr>
              <w:pStyle w:val="NormalWeb"/>
              <w:spacing w:line="360" w:lineRule="auto"/>
              <w:rPr>
                <w:rFonts w:asciiTheme="majorBidi" w:hAnsiTheme="majorBidi" w:cstheme="majorBidi"/>
                <w:sz w:val="22"/>
                <w:szCs w:val="22"/>
              </w:rPr>
            </w:pPr>
          </w:p>
        </w:tc>
        <w:tc>
          <w:tcPr>
            <w:tcW w:w="5598" w:type="dxa"/>
            <w:shd w:val="clear" w:color="auto" w:fill="EEECE1" w:themeFill="background2"/>
            <w:vAlign w:val="center"/>
            <w:hideMark/>
          </w:tcPr>
          <w:p w14:paraId="4D94C100"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shd w:val="clear" w:color="auto" w:fill="EEECE1" w:themeFill="background2"/>
            <w:vAlign w:val="center"/>
            <w:hideMark/>
          </w:tcPr>
          <w:p w14:paraId="5EBD0E4A" w14:textId="77777777" w:rsidR="00E25B51" w:rsidRPr="00031616" w:rsidRDefault="00E25B51" w:rsidP="00E131DA">
            <w:pPr>
              <w:pStyle w:val="NormalWeb"/>
              <w:spacing w:line="360" w:lineRule="auto"/>
              <w:jc w:val="center"/>
              <w:rPr>
                <w:rFonts w:asciiTheme="majorBidi" w:hAnsiTheme="majorBidi" w:cstheme="majorBidi"/>
                <w:sz w:val="22"/>
                <w:szCs w:val="22"/>
              </w:rPr>
            </w:pPr>
          </w:p>
        </w:tc>
      </w:tr>
      <w:tr w:rsidR="00E25B51" w:rsidRPr="00E25B51" w14:paraId="39BF0BA3" w14:textId="77777777" w:rsidTr="00E25B51">
        <w:trPr>
          <w:tblCellSpacing w:w="15" w:type="dxa"/>
        </w:trPr>
        <w:tc>
          <w:tcPr>
            <w:tcW w:w="2790" w:type="dxa"/>
            <w:vAlign w:val="center"/>
            <w:hideMark/>
          </w:tcPr>
          <w:p w14:paraId="6BEF8E75" w14:textId="77777777" w:rsidR="00E25B51" w:rsidRPr="00031616" w:rsidRDefault="00E25B51" w:rsidP="00E25B51">
            <w:pPr>
              <w:pStyle w:val="NormalWeb"/>
              <w:spacing w:line="360" w:lineRule="auto"/>
              <w:rPr>
                <w:rFonts w:asciiTheme="majorBidi" w:hAnsiTheme="majorBidi" w:cstheme="majorBidi"/>
                <w:sz w:val="22"/>
                <w:szCs w:val="22"/>
              </w:rPr>
            </w:pPr>
            <w:r w:rsidRPr="00031616">
              <w:rPr>
                <w:rFonts w:asciiTheme="majorBidi" w:hAnsiTheme="majorBidi" w:cstheme="majorBidi"/>
                <w:b/>
                <w:bCs/>
                <w:sz w:val="22"/>
                <w:szCs w:val="22"/>
              </w:rPr>
              <w:t>Total général</w:t>
            </w:r>
          </w:p>
        </w:tc>
        <w:tc>
          <w:tcPr>
            <w:tcW w:w="5598" w:type="dxa"/>
            <w:vAlign w:val="center"/>
            <w:hideMark/>
          </w:tcPr>
          <w:p w14:paraId="60391543" w14:textId="77777777" w:rsidR="00E25B51" w:rsidRPr="00031616" w:rsidRDefault="00E25B51" w:rsidP="00E131DA">
            <w:pPr>
              <w:pStyle w:val="NormalWeb"/>
              <w:spacing w:line="360" w:lineRule="auto"/>
              <w:jc w:val="both"/>
              <w:rPr>
                <w:rFonts w:asciiTheme="majorBidi" w:hAnsiTheme="majorBidi" w:cstheme="majorBidi"/>
                <w:sz w:val="22"/>
                <w:szCs w:val="22"/>
              </w:rPr>
            </w:pPr>
          </w:p>
        </w:tc>
        <w:tc>
          <w:tcPr>
            <w:tcW w:w="1131" w:type="dxa"/>
            <w:vAlign w:val="center"/>
            <w:hideMark/>
          </w:tcPr>
          <w:p w14:paraId="08F1A7CD" w14:textId="77777777" w:rsidR="00E25B51" w:rsidRPr="00031616" w:rsidRDefault="00E25B51" w:rsidP="00E131DA">
            <w:pPr>
              <w:pStyle w:val="NormalWeb"/>
              <w:spacing w:line="360" w:lineRule="auto"/>
              <w:jc w:val="center"/>
              <w:rPr>
                <w:rFonts w:asciiTheme="majorBidi" w:hAnsiTheme="majorBidi" w:cstheme="majorBidi"/>
                <w:sz w:val="22"/>
                <w:szCs w:val="22"/>
              </w:rPr>
            </w:pPr>
            <w:r w:rsidRPr="00031616">
              <w:rPr>
                <w:rFonts w:asciiTheme="majorBidi" w:hAnsiTheme="majorBidi" w:cstheme="majorBidi"/>
                <w:b/>
                <w:bCs/>
                <w:sz w:val="22"/>
                <w:szCs w:val="22"/>
              </w:rPr>
              <w:t>/100</w:t>
            </w:r>
          </w:p>
        </w:tc>
      </w:tr>
    </w:tbl>
    <w:p w14:paraId="3899312C" w14:textId="77777777" w:rsidR="002D269A" w:rsidRDefault="002D269A" w:rsidP="00CF58FB">
      <w:pPr>
        <w:spacing w:line="360" w:lineRule="auto"/>
        <w:rPr>
          <w:szCs w:val="22"/>
          <w:vertAlign w:val="superscript"/>
          <w:lang w:eastAsia="fr-FR"/>
        </w:rPr>
      </w:pPr>
    </w:p>
    <w:p w14:paraId="68BC8C59" w14:textId="1D6B4DED" w:rsidR="00AA0A9E" w:rsidRPr="00CF58FB" w:rsidRDefault="00CF58FB" w:rsidP="00CF58FB">
      <w:pPr>
        <w:spacing w:line="360" w:lineRule="auto"/>
        <w:rPr>
          <w:szCs w:val="22"/>
          <w:lang w:eastAsia="fr-FR"/>
        </w:rPr>
      </w:pPr>
      <w:r w:rsidRPr="00CF58FB">
        <w:rPr>
          <w:szCs w:val="22"/>
          <w:vertAlign w:val="superscript"/>
          <w:lang w:eastAsia="fr-FR"/>
        </w:rPr>
        <w:t xml:space="preserve">* </w:t>
      </w:r>
      <w:r w:rsidRPr="00CF58FB">
        <w:rPr>
          <w:szCs w:val="22"/>
          <w:lang w:eastAsia="fr-FR"/>
        </w:rPr>
        <w:t xml:space="preserve">La note </w:t>
      </w:r>
      <w:r>
        <w:rPr>
          <w:szCs w:val="22"/>
          <w:lang w:eastAsia="fr-FR"/>
        </w:rPr>
        <w:t>finale attribuée</w:t>
      </w:r>
      <w:r w:rsidRPr="00CF58FB">
        <w:rPr>
          <w:szCs w:val="22"/>
          <w:lang w:eastAsia="fr-FR"/>
        </w:rPr>
        <w:t xml:space="preserve"> est une note d’évaluation jugée par le comité d’évaluateurs et elle est comprise entre 0 et la note maximale</w:t>
      </w:r>
      <w:r>
        <w:rPr>
          <w:szCs w:val="22"/>
          <w:lang w:eastAsia="fr-FR"/>
        </w:rPr>
        <w:t xml:space="preserve"> indiquée dans le tableau du barème ci-dessus</w:t>
      </w:r>
      <w:r w:rsidRPr="00CF58FB">
        <w:rPr>
          <w:szCs w:val="22"/>
          <w:lang w:eastAsia="fr-FR"/>
        </w:rPr>
        <w:t>.</w:t>
      </w:r>
    </w:p>
    <w:p w14:paraId="3E4C4231" w14:textId="77777777" w:rsidR="00CF58FB" w:rsidRPr="00CF58FB" w:rsidRDefault="00CF58FB" w:rsidP="00CF58FB">
      <w:pPr>
        <w:spacing w:line="360" w:lineRule="auto"/>
        <w:jc w:val="left"/>
        <w:rPr>
          <w:sz w:val="24"/>
          <w:szCs w:val="24"/>
          <w:lang w:eastAsia="fr-FR"/>
        </w:rPr>
      </w:pPr>
    </w:p>
    <w:p w14:paraId="69C259A4" w14:textId="518EDB5C" w:rsidR="00621716" w:rsidRDefault="00621716" w:rsidP="00621716">
      <w:pPr>
        <w:pStyle w:val="Paragraphedeliste"/>
        <w:numPr>
          <w:ilvl w:val="1"/>
          <w:numId w:val="47"/>
        </w:numPr>
        <w:tabs>
          <w:tab w:val="num" w:pos="720"/>
        </w:tabs>
        <w:spacing w:line="360" w:lineRule="auto"/>
        <w:ind w:left="426"/>
        <w:rPr>
          <w:sz w:val="24"/>
          <w:szCs w:val="24"/>
          <w:lang w:eastAsia="fr-FR"/>
        </w:rPr>
      </w:pPr>
      <w:r w:rsidRPr="00621716">
        <w:rPr>
          <w:sz w:val="24"/>
          <w:szCs w:val="24"/>
          <w:lang w:eastAsia="fr-FR"/>
        </w:rPr>
        <w:lastRenderedPageBreak/>
        <w:t>Négociation du contrat avec le bureau classé premier. 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0A077B" w:rsidRDefault="007F72A9" w:rsidP="009A5F18">
      <w:pPr>
        <w:pStyle w:val="Titre1"/>
        <w:rPr>
          <w:rFonts w:cs="Arial"/>
          <w:lang w:eastAsia="en-GB"/>
        </w:rPr>
      </w:pPr>
      <w:bookmarkStart w:id="20" w:name="_Toc199170178"/>
      <w:bookmarkEnd w:id="4"/>
      <w:bookmarkEnd w:id="5"/>
      <w:bookmarkEnd w:id="6"/>
      <w:bookmarkEnd w:id="7"/>
      <w:bookmarkEnd w:id="8"/>
      <w:bookmarkEnd w:id="9"/>
      <w:bookmarkEnd w:id="17"/>
      <w:bookmarkEnd w:id="18"/>
      <w:r w:rsidRPr="000A077B">
        <w:t>PIECES CONSTITUTIVES DE LA MANIFESTATION D’INTERET</w:t>
      </w:r>
      <w:bookmarkEnd w:id="20"/>
      <w:r w:rsidRPr="000A077B">
        <w:t xml:space="preserve"> </w:t>
      </w:r>
    </w:p>
    <w:p w14:paraId="4059C502" w14:textId="77777777" w:rsidR="00035C47" w:rsidRPr="007707C0" w:rsidRDefault="00035C47" w:rsidP="00585B5B">
      <w:pPr>
        <w:widowControl w:val="0"/>
        <w:tabs>
          <w:tab w:val="left" w:pos="9214"/>
        </w:tabs>
        <w:autoSpaceDE w:val="0"/>
        <w:autoSpaceDN w:val="0"/>
        <w:spacing w:before="120" w:after="120" w:line="360" w:lineRule="auto"/>
        <w:rPr>
          <w:rFonts w:asciiTheme="minorHAnsi" w:hAnsiTheme="minorHAnsi" w:cstheme="minorHAnsi"/>
          <w:sz w:val="24"/>
        </w:rPr>
      </w:pPr>
      <w:r w:rsidRPr="007707C0">
        <w:rPr>
          <w:rFonts w:asciiTheme="minorHAnsi" w:hAnsiTheme="minorHAnsi" w:cstheme="minorHAnsi"/>
          <w:sz w:val="24"/>
        </w:rPr>
        <w:t>Les candidats intéressés par la présente mission sont invités à soumettre un dossier complet 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1. Une lettre de manifestation d’intérêt</w:t>
      </w:r>
      <w:r w:rsidRPr="00035C47">
        <w:rPr>
          <w:rFonts w:asciiTheme="minorHAnsi" w:hAnsiTheme="minorHAnsi" w:cstheme="minorHAnsi"/>
          <w:sz w:val="24"/>
        </w:rPr>
        <w:t xml:space="preserve"> signée par le représentant légal du bureau de consulting, précisant l’objet de la candidature, les motivations, et l’engagement à participer à toutes les étapes de la mission si le contrat leur est attribué.</w:t>
      </w:r>
    </w:p>
    <w:p w14:paraId="2B222FBF"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2. Le dossier administratif</w:t>
      </w:r>
      <w:r w:rsidRPr="00035C47">
        <w:rPr>
          <w:rFonts w:asciiTheme="minorHAnsi" w:hAnsiTheme="minorHAnsi" w:cstheme="minorHAnsi"/>
          <w:sz w:val="24"/>
        </w:rPr>
        <w:t>, comprenant :</w:t>
      </w:r>
    </w:p>
    <w:p w14:paraId="598E7D64" w14:textId="33A4B8D8"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23764B">
        <w:rPr>
          <w:rFonts w:asciiTheme="minorHAnsi" w:hAnsiTheme="minorHAnsi" w:cstheme="minorHAnsi"/>
          <w:sz w:val="24"/>
        </w:rPr>
        <w:t>Un extrait</w:t>
      </w:r>
      <w:r w:rsidR="00035C47">
        <w:rPr>
          <w:rFonts w:asciiTheme="minorHAnsi" w:hAnsiTheme="minorHAnsi" w:cstheme="minorHAnsi"/>
          <w:sz w:val="24"/>
        </w:rPr>
        <w:t xml:space="preserve"> </w:t>
      </w:r>
      <w:r w:rsidR="00035C47" w:rsidRPr="00035C47">
        <w:rPr>
          <w:rFonts w:asciiTheme="minorHAnsi" w:hAnsiTheme="minorHAnsi" w:cstheme="minorHAnsi"/>
          <w:sz w:val="24"/>
        </w:rPr>
        <w:t xml:space="preserve">du </w:t>
      </w:r>
      <w:r w:rsidR="00035C47">
        <w:rPr>
          <w:rFonts w:asciiTheme="minorHAnsi" w:hAnsiTheme="minorHAnsi" w:cstheme="minorHAnsi"/>
          <w:sz w:val="24"/>
        </w:rPr>
        <w:t>R</w:t>
      </w:r>
      <w:r w:rsidR="00035C47" w:rsidRPr="00035C47">
        <w:rPr>
          <w:rFonts w:asciiTheme="minorHAnsi" w:hAnsiTheme="minorHAnsi" w:cstheme="minorHAnsi"/>
          <w:sz w:val="24"/>
        </w:rPr>
        <w:t xml:space="preserve">egistre de </w:t>
      </w:r>
      <w:r w:rsidR="00035C47">
        <w:rPr>
          <w:rFonts w:asciiTheme="minorHAnsi" w:hAnsiTheme="minorHAnsi" w:cstheme="minorHAnsi"/>
          <w:sz w:val="24"/>
        </w:rPr>
        <w:t>National d’Entreprise (RNE)</w:t>
      </w:r>
      <w:r w:rsidR="0023764B">
        <w:rPr>
          <w:rFonts w:asciiTheme="minorHAnsi" w:hAnsiTheme="minorHAnsi" w:cstheme="minorHAnsi"/>
          <w:sz w:val="24"/>
        </w:rPr>
        <w:t xml:space="preserve"> du bureau</w:t>
      </w:r>
      <w:r w:rsidR="0023764B" w:rsidRPr="00035C47">
        <w:rPr>
          <w:rFonts w:asciiTheme="minorHAnsi" w:hAnsiTheme="minorHAnsi" w:cstheme="minorHAnsi"/>
          <w:sz w:val="24"/>
        </w:rPr>
        <w:t xml:space="preserve"> ;</w:t>
      </w:r>
    </w:p>
    <w:p w14:paraId="4A6D3859" w14:textId="3F026C86"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Une attestation de non-faillite datant de moins de trois (03) mois ;</w:t>
      </w:r>
    </w:p>
    <w:p w14:paraId="5B17920F" w14:textId="16C241DC"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Les statuts de la société ou tout document établissant l’identité juridique du </w:t>
      </w:r>
      <w:proofErr w:type="gramStart"/>
      <w:r w:rsidR="00035C47" w:rsidRPr="00035C47">
        <w:rPr>
          <w:rFonts w:asciiTheme="minorHAnsi" w:hAnsiTheme="minorHAnsi" w:cstheme="minorHAnsi"/>
          <w:sz w:val="24"/>
        </w:rPr>
        <w:t>prestataire;</w:t>
      </w:r>
      <w:proofErr w:type="gramEnd"/>
    </w:p>
    <w:p w14:paraId="324B4096" w14:textId="0AFBFB72"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Une</w:t>
      </w:r>
      <w:r w:rsidR="00035C47" w:rsidRPr="00035C47">
        <w:rPr>
          <w:rFonts w:asciiTheme="minorHAnsi" w:hAnsiTheme="minorHAnsi" w:cstheme="minorHAnsi"/>
          <w:sz w:val="24"/>
        </w:rPr>
        <w:t xml:space="preserve"> copie de la carte d’identification fiscale (CIF) ou équivalent ;</w:t>
      </w:r>
    </w:p>
    <w:p w14:paraId="5AE83025" w14:textId="4EC92CA3" w:rsidR="005E47E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5E47E9">
        <w:rPr>
          <w:rFonts w:asciiTheme="minorHAnsi" w:hAnsiTheme="minorHAnsi" w:cstheme="minorHAnsi"/>
          <w:sz w:val="24"/>
        </w:rPr>
        <w:t>Une fiche de renseignements généraux sur le soumissionnaire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1)</w:t>
      </w:r>
      <w:r>
        <w:rPr>
          <w:rFonts w:asciiTheme="minorHAnsi" w:hAnsiTheme="minorHAnsi" w:cstheme="minorHAnsi"/>
          <w:sz w:val="24"/>
        </w:rPr>
        <w:t>.</w:t>
      </w:r>
    </w:p>
    <w:p w14:paraId="7FA29F39"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3. Le dossier technique</w:t>
      </w:r>
      <w:r w:rsidRPr="00035C47">
        <w:rPr>
          <w:rFonts w:asciiTheme="minorHAnsi" w:hAnsiTheme="minorHAnsi" w:cstheme="minorHAnsi"/>
          <w:sz w:val="24"/>
        </w:rPr>
        <w:t>, contenant :</w:t>
      </w:r>
    </w:p>
    <w:p w14:paraId="1CC33B54" w14:textId="08E7EA9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lastRenderedPageBreak/>
        <w:t xml:space="preserve">- </w:t>
      </w:r>
      <w:r w:rsidR="00035C47" w:rsidRPr="00035C47">
        <w:rPr>
          <w:rFonts w:asciiTheme="minorHAnsi" w:hAnsiTheme="minorHAnsi" w:cstheme="minorHAnsi"/>
          <w:sz w:val="24"/>
        </w:rPr>
        <w:t>Une note méthodologique détaillée présentant la compréhension des TDR, la stratégie d’intervention, la planification des activités, et les outils prévus pour la mission ;</w:t>
      </w:r>
    </w:p>
    <w:p w14:paraId="79086EB9" w14:textId="2C9A393A" w:rsidR="00830E8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035C47">
        <w:rPr>
          <w:rFonts w:asciiTheme="minorHAnsi" w:hAnsiTheme="minorHAnsi" w:cstheme="minorHAnsi"/>
          <w:sz w:val="24"/>
        </w:rPr>
        <w:t>Une liste de références de missions similaires réalisées durant les cinq dernières années, accompagnée, dans la mesure du possible, des attestations de bonne exécution ou lettres de recommandation</w:t>
      </w:r>
      <w:r>
        <w:rPr>
          <w:rFonts w:asciiTheme="minorHAnsi" w:hAnsiTheme="minorHAnsi" w:cstheme="minorHAnsi"/>
          <w:sz w:val="24"/>
        </w:rPr>
        <w:t xml:space="preserve"> (conformément au modèle joint à l’annexe 2).</w:t>
      </w:r>
    </w:p>
    <w:p w14:paraId="08C7D578" w14:textId="0A93C7BE"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Le curriculum vitae détaillé des membres de l’équipe proposés, daté et signé, mettant en évidence les expériences spécifiques et les réalisations antérieures en lien avec les thématiques de la mission</w:t>
      </w:r>
      <w:r w:rsidR="005E47E9">
        <w:rPr>
          <w:rFonts w:asciiTheme="minorHAnsi" w:hAnsiTheme="minorHAnsi" w:cstheme="minorHAnsi"/>
          <w:sz w:val="24"/>
        </w:rPr>
        <w:t xml:space="preserv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3)</w:t>
      </w:r>
      <w:r w:rsidR="00035C47" w:rsidRPr="00035C47">
        <w:rPr>
          <w:rFonts w:asciiTheme="minorHAnsi" w:hAnsiTheme="minorHAnsi" w:cstheme="minorHAnsi"/>
          <w:sz w:val="24"/>
        </w:rPr>
        <w:t xml:space="preserve"> ;</w:t>
      </w:r>
    </w:p>
    <w:p w14:paraId="755508CC" w14:textId="79217D8E"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Des copies des diplômes ou certificats professionnels pertinents ;</w:t>
      </w:r>
    </w:p>
    <w:p w14:paraId="07B20407" w14:textId="7D1F78BF"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4. Toute autre pièce jugée utile</w:t>
      </w:r>
      <w:r w:rsidRPr="00035C47">
        <w:rPr>
          <w:rFonts w:asciiTheme="minorHAnsi" w:hAnsiTheme="minorHAnsi" w:cstheme="minorHAnsi"/>
          <w:sz w:val="24"/>
        </w:rPr>
        <w:t xml:space="preserve"> par le bureau candidat pour appuyer son expertise, notamment :</w:t>
      </w:r>
    </w:p>
    <w:p w14:paraId="53512243" w14:textId="21394FB0"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Publications ou travaux de recherche pertinents ;</w:t>
      </w:r>
    </w:p>
    <w:p w14:paraId="6A9C3423" w14:textId="2204FE0B"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Accords de collaboration ou conventions antérieures avec des acteurs </w:t>
      </w:r>
      <w:r w:rsidRPr="00035C47">
        <w:rPr>
          <w:rFonts w:asciiTheme="minorHAnsi" w:hAnsiTheme="minorHAnsi" w:cstheme="minorHAnsi"/>
          <w:sz w:val="24"/>
        </w:rPr>
        <w:t>institutionnels ;</w:t>
      </w:r>
    </w:p>
    <w:p w14:paraId="05890DB7" w14:textId="1716DC7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Présentation de projets innovants conduits dans le même secteur.</w:t>
      </w:r>
    </w:p>
    <w:p w14:paraId="76239473" w14:textId="11BD739A" w:rsidR="00040D86" w:rsidRPr="00040D86" w:rsidRDefault="00040D86"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DE4A44">
        <w:rPr>
          <w:rFonts w:asciiTheme="minorHAnsi" w:hAnsiTheme="minorHAnsi" w:cstheme="minorHAnsi"/>
          <w:sz w:val="24"/>
        </w:rPr>
        <w:t>Capacité logistique et organisationnelle</w:t>
      </w:r>
      <w:r w:rsidRPr="00040D86">
        <w:rPr>
          <w:rFonts w:asciiTheme="minorHAnsi" w:hAnsiTheme="minorHAnsi" w:cstheme="minorHAnsi"/>
          <w:sz w:val="24"/>
        </w:rPr>
        <w:t xml:space="preserve"> : </w:t>
      </w:r>
      <w:r w:rsidRPr="00DE4A44">
        <w:rPr>
          <w:rFonts w:asciiTheme="minorHAnsi" w:hAnsiTheme="minorHAnsi" w:cstheme="minorHAnsi"/>
          <w:sz w:val="24"/>
        </w:rPr>
        <w:t>Moyens matériels, structure organisationnelle, disponibilité</w:t>
      </w:r>
      <w:r>
        <w:rPr>
          <w:rFonts w:asciiTheme="minorHAnsi" w:hAnsiTheme="minorHAnsi" w:cstheme="minorHAnsi"/>
          <w:sz w:val="24"/>
        </w:rPr>
        <w:t xml:space="preserve"> etc.</w:t>
      </w:r>
    </w:p>
    <w:p w14:paraId="75DFE7A4" w14:textId="08491126" w:rsidR="00035C47" w:rsidRPr="007707C0" w:rsidRDefault="00035C47"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7707C0">
        <w:rPr>
          <w:rFonts w:asciiTheme="minorHAnsi" w:hAnsiTheme="minorHAnsi" w:cstheme="minorHAnsi"/>
          <w:sz w:val="24"/>
        </w:rPr>
        <w:t>Le non-respect de l’une des pièces jugées obligatoires entraînera l’irrecevabilité du dossier. Le comité de sélection se réserve le droit de demander des éclaircissements ou des compléments d’information à tout moment du processus.</w:t>
      </w:r>
    </w:p>
    <w:p w14:paraId="32561F62" w14:textId="2C6D94D3" w:rsidR="00AC4B93" w:rsidRPr="008F50F3" w:rsidRDefault="00AC4B93" w:rsidP="00585B5B">
      <w:pPr>
        <w:spacing w:line="360" w:lineRule="auto"/>
        <w:rPr>
          <w:rFonts w:asciiTheme="minorHAnsi" w:hAnsiTheme="minorHAnsi" w:cstheme="minorHAnsi"/>
          <w:sz w:val="24"/>
        </w:rPr>
      </w:pPr>
      <w:bookmarkStart w:id="21" w:name="_Hlk33126622"/>
      <w:r w:rsidRPr="008F50F3">
        <w:rPr>
          <w:rFonts w:asciiTheme="minorHAnsi" w:hAnsiTheme="minorHAnsi" w:cstheme="minorHAnsi"/>
          <w:sz w:val="24"/>
        </w:rPr>
        <w:t xml:space="preserve">Les </w:t>
      </w:r>
      <w:r w:rsidR="008F50F3">
        <w:rPr>
          <w:rFonts w:asciiTheme="minorHAnsi" w:hAnsiTheme="minorHAnsi" w:cstheme="minorHAnsi"/>
          <w:sz w:val="24"/>
        </w:rPr>
        <w:t xml:space="preserve">bureaux </w:t>
      </w:r>
      <w:r w:rsidRPr="008F50F3">
        <w:rPr>
          <w:rFonts w:asciiTheme="minorHAnsi" w:hAnsiTheme="minorHAnsi" w:cstheme="minorHAnsi"/>
          <w:sz w:val="24"/>
        </w:rPr>
        <w:t>candidats intéressés peuvent obtenir de plus amples informations au sujet des termes de référence par mail à l’adresse électronique :</w:t>
      </w:r>
      <w:r w:rsidR="008F50F3">
        <w:rPr>
          <w:rFonts w:asciiTheme="minorHAnsi" w:hAnsiTheme="minorHAnsi" w:cstheme="minorHAnsi"/>
          <w:sz w:val="24"/>
        </w:rPr>
        <w:t xml:space="preserve"> </w:t>
      </w:r>
      <w:hyperlink r:id="rId16" w:history="1">
        <w:r w:rsidR="0082433A" w:rsidRPr="00C65E91">
          <w:rPr>
            <w:rStyle w:val="Lienhypertexte"/>
            <w:rFonts w:asciiTheme="minorHAnsi" w:hAnsiTheme="minorHAnsi" w:cstheme="minorHAnsi"/>
            <w:sz w:val="24"/>
          </w:rPr>
          <w:t>moez.otay@univ-k.rnu.tn</w:t>
        </w:r>
      </w:hyperlink>
      <w:r w:rsidR="008F50F3">
        <w:rPr>
          <w:rFonts w:asciiTheme="minorHAnsi" w:hAnsiTheme="minorHAnsi" w:cstheme="minorHAnsi"/>
          <w:sz w:val="24"/>
        </w:rPr>
        <w:t xml:space="preserve"> </w:t>
      </w:r>
      <w:r w:rsidRPr="008F50F3">
        <w:rPr>
          <w:rFonts w:asciiTheme="minorHAnsi" w:hAnsiTheme="minorHAnsi" w:cstheme="minorHAnsi"/>
          <w:sz w:val="24"/>
        </w:rPr>
        <w:t xml:space="preserve">et trouver la version numérique des documents afférents à cet appel sur le site web de l’université de Kairouan : </w:t>
      </w:r>
      <w:hyperlink r:id="rId17" w:history="1">
        <w:r w:rsidR="008F50F3" w:rsidRPr="00D42106">
          <w:rPr>
            <w:rStyle w:val="Lienhypertexte"/>
            <w:rFonts w:asciiTheme="minorHAnsi" w:hAnsiTheme="minorHAnsi" w:cstheme="minorHAnsi"/>
          </w:rPr>
          <w:t>www.univ-k.rnu.tn</w:t>
        </w:r>
      </w:hyperlink>
    </w:p>
    <w:p w14:paraId="2CFECA45" w14:textId="60ADCDF5" w:rsidR="00AC4B93" w:rsidRDefault="00AC4B93" w:rsidP="00585B5B">
      <w:pPr>
        <w:spacing w:before="240" w:after="120" w:line="360" w:lineRule="auto"/>
        <w:rPr>
          <w:rFonts w:asciiTheme="minorHAnsi" w:hAnsiTheme="minorHAnsi" w:cstheme="minorHAnsi"/>
          <w:sz w:val="24"/>
        </w:rPr>
      </w:pPr>
      <w:r w:rsidRPr="008F50F3">
        <w:rPr>
          <w:rFonts w:asciiTheme="minorHAnsi" w:hAnsiTheme="minorHAnsi" w:cstheme="minorHAnsi"/>
          <w:sz w:val="24"/>
        </w:rPr>
        <w:t xml:space="preserve">Les dossiers de candidature peuvent être présentés numériquement en pièces jointes via la plateforme TUNEPS </w:t>
      </w:r>
      <w:r w:rsidR="008F50F3">
        <w:rPr>
          <w:rFonts w:asciiTheme="minorHAnsi" w:hAnsiTheme="minorHAnsi" w:cstheme="minorHAnsi"/>
          <w:sz w:val="24"/>
        </w:rPr>
        <w:t>o</w:t>
      </w:r>
      <w:r w:rsidRPr="008F50F3">
        <w:rPr>
          <w:rFonts w:asciiTheme="minorHAnsi" w:hAnsiTheme="minorHAnsi" w:cstheme="minorHAnsi"/>
          <w:sz w:val="24"/>
        </w:rPr>
        <w:t xml:space="preserve">u bien parvenir physiquement par voie postale à l’adresse </w:t>
      </w:r>
      <w:r w:rsidR="007707C0" w:rsidRPr="00000A57">
        <w:rPr>
          <w:rFonts w:ascii="Calibri" w:hAnsi="Calibri" w:cs="Calibri"/>
          <w:b/>
          <w:bCs/>
          <w:sz w:val="24"/>
          <w:szCs w:val="22"/>
          <w:lang w:eastAsia="fr-FR"/>
        </w:rPr>
        <w:t xml:space="preserve">: Université de Kairouan, </w:t>
      </w:r>
      <w:proofErr w:type="gramStart"/>
      <w:r w:rsidR="003052F7">
        <w:rPr>
          <w:rFonts w:ascii="Calibri" w:hAnsi="Calibri" w:cs="Calibri"/>
          <w:b/>
          <w:bCs/>
          <w:sz w:val="24"/>
          <w:szCs w:val="22"/>
          <w:lang w:eastAsia="fr-FR"/>
        </w:rPr>
        <w:t>c</w:t>
      </w:r>
      <w:r w:rsidR="007707C0" w:rsidRPr="00000A57">
        <w:rPr>
          <w:rFonts w:ascii="Calibri" w:hAnsi="Calibri" w:cs="Calibri"/>
          <w:b/>
          <w:bCs/>
          <w:sz w:val="24"/>
          <w:szCs w:val="22"/>
          <w:lang w:eastAsia="fr-FR"/>
        </w:rPr>
        <w:t xml:space="preserve">ampus </w:t>
      </w:r>
      <w:r w:rsidR="003052F7">
        <w:rPr>
          <w:rFonts w:ascii="Calibri" w:hAnsi="Calibri" w:cs="Calibri"/>
          <w:b/>
          <w:bCs/>
          <w:sz w:val="24"/>
          <w:szCs w:val="22"/>
          <w:lang w:eastAsia="fr-FR"/>
        </w:rPr>
        <w:t>u</w:t>
      </w:r>
      <w:r w:rsidR="007707C0" w:rsidRPr="00000A57">
        <w:rPr>
          <w:rFonts w:ascii="Calibri" w:hAnsi="Calibri" w:cs="Calibri"/>
          <w:b/>
          <w:bCs/>
          <w:sz w:val="24"/>
          <w:szCs w:val="22"/>
          <w:lang w:eastAsia="fr-FR"/>
        </w:rPr>
        <w:t>niversitaire</w:t>
      </w:r>
      <w:proofErr w:type="gramEnd"/>
      <w:r w:rsidR="007707C0" w:rsidRPr="00000A57">
        <w:rPr>
          <w:rFonts w:ascii="Calibri" w:hAnsi="Calibri" w:cs="Calibri"/>
          <w:b/>
          <w:bCs/>
          <w:sz w:val="24"/>
          <w:szCs w:val="22"/>
          <w:lang w:eastAsia="fr-FR"/>
        </w:rPr>
        <w:t xml:space="preserve">, </w:t>
      </w:r>
      <w:r w:rsidR="003052F7">
        <w:rPr>
          <w:rFonts w:ascii="Calibri" w:hAnsi="Calibri" w:cs="Calibri"/>
          <w:b/>
          <w:bCs/>
          <w:sz w:val="24"/>
          <w:szCs w:val="22"/>
          <w:lang w:eastAsia="fr-FR"/>
        </w:rPr>
        <w:t>r</w:t>
      </w:r>
      <w:r w:rsidR="007707C0" w:rsidRPr="00000A57">
        <w:rPr>
          <w:rFonts w:ascii="Calibri" w:hAnsi="Calibri" w:cs="Calibri"/>
          <w:b/>
          <w:bCs/>
          <w:sz w:val="24"/>
          <w:szCs w:val="22"/>
          <w:lang w:eastAsia="fr-FR"/>
        </w:rPr>
        <w:t xml:space="preserve">oute périphérique </w:t>
      </w:r>
      <w:r w:rsidR="003052F7">
        <w:rPr>
          <w:rFonts w:ascii="Calibri" w:hAnsi="Calibri" w:cs="Calibri"/>
          <w:b/>
          <w:bCs/>
          <w:sz w:val="24"/>
          <w:szCs w:val="22"/>
          <w:lang w:eastAsia="fr-FR"/>
        </w:rPr>
        <w:t>d</w:t>
      </w:r>
      <w:r w:rsidR="007707C0" w:rsidRPr="00000A57">
        <w:rPr>
          <w:rFonts w:ascii="Calibri" w:hAnsi="Calibri" w:cs="Calibri"/>
          <w:b/>
          <w:bCs/>
          <w:sz w:val="24"/>
          <w:szCs w:val="22"/>
          <w:lang w:eastAsia="fr-FR"/>
        </w:rPr>
        <w:t>ar El Amen Kairouan 3100</w:t>
      </w:r>
      <w:r w:rsidR="007707C0" w:rsidRPr="007707C0">
        <w:rPr>
          <w:rFonts w:ascii="Calibri" w:hAnsi="Calibri" w:cs="Calibri"/>
          <w:sz w:val="24"/>
          <w:szCs w:val="22"/>
          <w:lang w:eastAsia="fr-FR"/>
        </w:rPr>
        <w:t>,</w:t>
      </w:r>
      <w:r w:rsidR="007707C0" w:rsidRPr="00000A57">
        <w:rPr>
          <w:rFonts w:ascii="Calibri" w:hAnsi="Calibri" w:cs="Calibri"/>
          <w:b/>
          <w:bCs/>
          <w:sz w:val="24"/>
          <w:szCs w:val="22"/>
          <w:lang w:eastAsia="fr-FR"/>
        </w:rPr>
        <w:t xml:space="preserve"> </w:t>
      </w:r>
      <w:r w:rsidRPr="008F50F3">
        <w:rPr>
          <w:rFonts w:asciiTheme="minorHAnsi" w:hAnsiTheme="minorHAnsi" w:cstheme="minorHAnsi"/>
          <w:sz w:val="24"/>
        </w:rPr>
        <w:t>avec la mention :</w:t>
      </w:r>
    </w:p>
    <w:p w14:paraId="673B2E05" w14:textId="77777777" w:rsidR="00CB11DD" w:rsidRPr="008F50F3" w:rsidRDefault="00CB11DD" w:rsidP="00585B5B">
      <w:pPr>
        <w:spacing w:before="240" w:after="120" w:line="360" w:lineRule="auto"/>
        <w:rPr>
          <w:rFonts w:asciiTheme="minorHAnsi" w:hAnsiTheme="minorHAnsi" w:cstheme="minorHAnsi"/>
          <w:sz w:val="24"/>
        </w:rPr>
      </w:pPr>
    </w:p>
    <w:p w14:paraId="420FB5EF" w14:textId="3B66990D" w:rsidR="00F930B1" w:rsidRPr="00CB11DD" w:rsidRDefault="00EC7268" w:rsidP="00CB11DD">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sz w:val="24"/>
          <w:szCs w:val="24"/>
        </w:rPr>
      </w:pPr>
      <w:r w:rsidRPr="00CB11DD">
        <w:rPr>
          <w:rFonts w:asciiTheme="majorBidi" w:hAnsiTheme="majorBidi" w:cstheme="majorBidi"/>
          <w:b/>
          <w:sz w:val="24"/>
          <w:szCs w:val="24"/>
        </w:rPr>
        <w:lastRenderedPageBreak/>
        <w:t xml:space="preserve"> Ne Pas Ouvrir, </w:t>
      </w:r>
      <w:bookmarkStart w:id="22" w:name="_Toc46223551"/>
      <w:bookmarkStart w:id="23" w:name="_Toc46223718"/>
      <w:bookmarkEnd w:id="21"/>
      <w:r w:rsidR="007707C0" w:rsidRPr="00CB11DD">
        <w:rPr>
          <w:rFonts w:asciiTheme="majorBidi" w:hAnsiTheme="majorBidi" w:cstheme="majorBidi"/>
          <w:b/>
          <w:sz w:val="24"/>
          <w:szCs w:val="24"/>
        </w:rPr>
        <w:t>A</w:t>
      </w:r>
      <w:r w:rsidR="00F930B1" w:rsidRPr="00CB11DD">
        <w:rPr>
          <w:rFonts w:asciiTheme="majorBidi" w:hAnsiTheme="majorBidi" w:cstheme="majorBidi"/>
          <w:b/>
          <w:sz w:val="24"/>
          <w:szCs w:val="24"/>
        </w:rPr>
        <w:t xml:space="preserve">ppel à Manifestation d’Intérêt </w:t>
      </w:r>
      <w:r w:rsidR="007707C0" w:rsidRPr="00CB11DD">
        <w:rPr>
          <w:rFonts w:asciiTheme="majorBidi" w:hAnsiTheme="majorBidi" w:cstheme="majorBidi"/>
          <w:b/>
          <w:sz w:val="24"/>
          <w:szCs w:val="24"/>
        </w:rPr>
        <w:t>PAQ DGSU N</w:t>
      </w:r>
      <w:r w:rsidR="00F930B1" w:rsidRPr="00CB11DD">
        <w:rPr>
          <w:rFonts w:asciiTheme="majorBidi" w:hAnsiTheme="majorBidi" w:cstheme="majorBidi"/>
          <w:b/>
          <w:sz w:val="24"/>
          <w:szCs w:val="24"/>
        </w:rPr>
        <w:t>°</w:t>
      </w:r>
      <w:r w:rsidR="00C26048" w:rsidRPr="00CB11DD">
        <w:rPr>
          <w:rFonts w:asciiTheme="majorBidi" w:hAnsiTheme="majorBidi" w:cstheme="majorBidi"/>
          <w:b/>
          <w:sz w:val="24"/>
          <w:szCs w:val="24"/>
        </w:rPr>
        <w:t xml:space="preserve"> </w:t>
      </w:r>
      <w:r w:rsidR="008215E8" w:rsidRPr="008215E8">
        <w:rPr>
          <w:rFonts w:asciiTheme="majorBidi" w:hAnsiTheme="majorBidi" w:cstheme="majorBidi" w:hint="cs"/>
          <w:bCs/>
          <w:sz w:val="24"/>
          <w:szCs w:val="24"/>
          <w:rtl/>
        </w:rPr>
        <w:t>07</w:t>
      </w:r>
      <w:r w:rsidR="00F930B1" w:rsidRPr="00CB11DD">
        <w:rPr>
          <w:rFonts w:asciiTheme="majorBidi" w:hAnsiTheme="majorBidi" w:cstheme="majorBidi"/>
          <w:b/>
          <w:sz w:val="24"/>
          <w:szCs w:val="24"/>
        </w:rPr>
        <w:t>/</w:t>
      </w:r>
      <w:r w:rsidR="006E3996" w:rsidRPr="00CB11DD">
        <w:rPr>
          <w:rFonts w:asciiTheme="majorBidi" w:hAnsiTheme="majorBidi" w:cstheme="majorBidi"/>
          <w:b/>
          <w:sz w:val="24"/>
          <w:szCs w:val="24"/>
        </w:rPr>
        <w:t>202</w:t>
      </w:r>
      <w:r w:rsidR="00F62CC2" w:rsidRPr="00CB11DD">
        <w:rPr>
          <w:rFonts w:asciiTheme="majorBidi" w:hAnsiTheme="majorBidi" w:cstheme="majorBidi"/>
          <w:b/>
          <w:sz w:val="24"/>
          <w:szCs w:val="24"/>
        </w:rPr>
        <w:t>5</w:t>
      </w:r>
    </w:p>
    <w:p w14:paraId="6FC363DE" w14:textId="09B49617" w:rsidR="00F930B1" w:rsidRPr="00CB11DD" w:rsidRDefault="007707C0" w:rsidP="00CB11DD">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bCs/>
          <w:color w:val="202124"/>
          <w:sz w:val="24"/>
          <w:szCs w:val="24"/>
          <w:shd w:val="clear" w:color="auto" w:fill="FFFFFF"/>
        </w:rPr>
      </w:pPr>
      <w:proofErr w:type="gramStart"/>
      <w:r w:rsidRPr="00CB11DD">
        <w:rPr>
          <w:rFonts w:asciiTheme="majorBidi" w:hAnsiTheme="majorBidi" w:cstheme="majorBidi"/>
          <w:b/>
          <w:sz w:val="24"/>
          <w:szCs w:val="24"/>
        </w:rPr>
        <w:t>p</w:t>
      </w:r>
      <w:r w:rsidR="00F930B1" w:rsidRPr="00CB11DD">
        <w:rPr>
          <w:rFonts w:asciiTheme="majorBidi" w:hAnsiTheme="majorBidi" w:cstheme="majorBidi"/>
          <w:b/>
          <w:sz w:val="24"/>
          <w:szCs w:val="24"/>
        </w:rPr>
        <w:t>our</w:t>
      </w:r>
      <w:proofErr w:type="gramEnd"/>
      <w:r w:rsidR="00F930B1" w:rsidRPr="00CB11DD">
        <w:rPr>
          <w:rFonts w:asciiTheme="majorBidi" w:hAnsiTheme="majorBidi" w:cstheme="majorBidi"/>
          <w:b/>
          <w:sz w:val="24"/>
          <w:szCs w:val="24"/>
        </w:rPr>
        <w:t xml:space="preserve"> le recrutement </w:t>
      </w:r>
      <w:r w:rsidR="00511778" w:rsidRPr="00CB11DD">
        <w:rPr>
          <w:rFonts w:asciiTheme="majorBidi" w:hAnsiTheme="majorBidi" w:cstheme="majorBidi"/>
          <w:b/>
          <w:sz w:val="24"/>
          <w:szCs w:val="24"/>
        </w:rPr>
        <w:t xml:space="preserve">d’un </w:t>
      </w:r>
      <w:r w:rsidRPr="00CB11DD">
        <w:rPr>
          <w:rFonts w:asciiTheme="majorBidi" w:hAnsiTheme="majorBidi" w:cstheme="majorBidi"/>
          <w:b/>
          <w:sz w:val="24"/>
          <w:szCs w:val="24"/>
        </w:rPr>
        <w:t xml:space="preserve">bureau de </w:t>
      </w:r>
      <w:r w:rsidR="00CB11DD" w:rsidRPr="00CB11DD">
        <w:rPr>
          <w:rFonts w:asciiTheme="majorBidi" w:hAnsiTheme="majorBidi" w:cstheme="majorBidi"/>
          <w:b/>
          <w:sz w:val="24"/>
          <w:szCs w:val="24"/>
        </w:rPr>
        <w:t>formation</w:t>
      </w:r>
      <w:r w:rsidR="00C02114" w:rsidRPr="00CB11DD">
        <w:rPr>
          <w:rFonts w:asciiTheme="majorBidi" w:hAnsiTheme="majorBidi" w:cstheme="majorBidi"/>
          <w:b/>
          <w:sz w:val="24"/>
          <w:szCs w:val="24"/>
        </w:rPr>
        <w:t xml:space="preserve"> pour la mission</w:t>
      </w:r>
      <w:r w:rsidR="00F930B1" w:rsidRPr="00CB11DD">
        <w:rPr>
          <w:rFonts w:asciiTheme="majorBidi" w:hAnsiTheme="majorBidi" w:cstheme="majorBidi"/>
          <w:b/>
          <w:sz w:val="24"/>
          <w:szCs w:val="24"/>
        </w:rPr>
        <w:t xml:space="preserve"> :</w:t>
      </w:r>
    </w:p>
    <w:p w14:paraId="07C24625" w14:textId="77777777" w:rsidR="00CB11DD" w:rsidRPr="00CB11DD" w:rsidRDefault="00CB11DD" w:rsidP="00CB11DD">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sz w:val="24"/>
          <w:szCs w:val="24"/>
        </w:rPr>
      </w:pPr>
      <w:r w:rsidRPr="00CB11DD">
        <w:rPr>
          <w:rFonts w:asciiTheme="majorBidi" w:hAnsiTheme="majorBidi" w:cstheme="majorBidi"/>
          <w:b/>
          <w:sz w:val="24"/>
          <w:szCs w:val="24"/>
        </w:rPr>
        <w:t>« Former les membres des établissements universitaires affiliés à l’Université de Kairouan aux fondements et aux outils de la pédagogie du projet »</w:t>
      </w:r>
    </w:p>
    <w:bookmarkEnd w:id="22"/>
    <w:bookmarkEnd w:id="23"/>
    <w:p w14:paraId="304FD49E" w14:textId="77777777" w:rsidR="007707C0" w:rsidRDefault="007707C0" w:rsidP="007707C0">
      <w:pPr>
        <w:widowControl w:val="0"/>
        <w:tabs>
          <w:tab w:val="left" w:pos="9214"/>
        </w:tabs>
        <w:autoSpaceDE w:val="0"/>
        <w:autoSpaceDN w:val="0"/>
        <w:spacing w:after="120" w:line="240" w:lineRule="auto"/>
        <w:rPr>
          <w:rFonts w:asciiTheme="minorHAnsi" w:hAnsiTheme="minorHAnsi" w:cstheme="minorHAnsi"/>
          <w:sz w:val="24"/>
        </w:rPr>
      </w:pPr>
    </w:p>
    <w:p w14:paraId="01A6CA79" w14:textId="17984BB6" w:rsidR="007707C0" w:rsidRPr="00CB11DD" w:rsidRDefault="007707C0" w:rsidP="00585B5B">
      <w:pPr>
        <w:widowControl w:val="0"/>
        <w:tabs>
          <w:tab w:val="left" w:pos="9214"/>
        </w:tabs>
        <w:autoSpaceDE w:val="0"/>
        <w:autoSpaceDN w:val="0"/>
        <w:spacing w:after="120" w:line="360" w:lineRule="auto"/>
        <w:rPr>
          <w:rFonts w:asciiTheme="majorBidi" w:hAnsiTheme="majorBidi" w:cstheme="majorBidi"/>
          <w:sz w:val="24"/>
        </w:rPr>
      </w:pPr>
      <w:r w:rsidRPr="00CB11DD">
        <w:rPr>
          <w:rFonts w:asciiTheme="majorBidi" w:hAnsiTheme="majorBidi" w:cstheme="majorBidi"/>
          <w:sz w:val="24"/>
        </w:rPr>
        <w:t xml:space="preserve">La date limite de réception des manifestations d’intérêt, </w:t>
      </w:r>
      <w:r w:rsidR="003052F7" w:rsidRPr="00CB11DD">
        <w:rPr>
          <w:rFonts w:asciiTheme="majorBidi" w:hAnsiTheme="majorBidi" w:cstheme="majorBidi"/>
          <w:sz w:val="24"/>
        </w:rPr>
        <w:t>est indiqué</w:t>
      </w:r>
      <w:r w:rsidRPr="00CB11DD">
        <w:rPr>
          <w:rFonts w:asciiTheme="majorBidi" w:hAnsiTheme="majorBidi" w:cstheme="majorBidi"/>
          <w:sz w:val="24"/>
        </w:rPr>
        <w:t xml:space="preserve"> dans l’avis d’appel à manifestation d’intérêt publié officiellement par l’Université de Kairouan.</w:t>
      </w:r>
    </w:p>
    <w:p w14:paraId="5FC06E85" w14:textId="51532BF8" w:rsidR="00D74CD7" w:rsidRDefault="007F72A9" w:rsidP="00585B5B">
      <w:pPr>
        <w:pStyle w:val="Titre1"/>
        <w:spacing w:line="360" w:lineRule="auto"/>
      </w:pPr>
      <w:bookmarkStart w:id="24" w:name="_Toc199170179"/>
      <w:r w:rsidRPr="000A077B">
        <w:t>RESPONSABILITES RESPECTIVES</w:t>
      </w:r>
      <w:bookmarkEnd w:id="24"/>
      <w:r w:rsidRPr="000A077B">
        <w:t xml:space="preserve"> </w:t>
      </w:r>
    </w:p>
    <w:p w14:paraId="74991B9F"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sz w:val="24"/>
        </w:rPr>
      </w:pPr>
      <w:r w:rsidRPr="00FB1975">
        <w:rPr>
          <w:rFonts w:asciiTheme="minorHAnsi" w:hAnsiTheme="minorHAnsi" w:cstheme="minorHAnsi"/>
          <w:sz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b/>
          <w:bCs/>
          <w:sz w:val="24"/>
        </w:rPr>
      </w:pPr>
      <w:r w:rsidRPr="00FB1975">
        <w:rPr>
          <w:rFonts w:asciiTheme="minorHAnsi" w:hAnsiTheme="minorHAnsi" w:cstheme="minorHAnsi"/>
          <w:b/>
          <w:bCs/>
          <w:sz w:val="24"/>
        </w:rPr>
        <w:t>A. L’Université de Kairouan (UK)</w:t>
      </w:r>
    </w:p>
    <w:p w14:paraId="299C48F5" w14:textId="77777777"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L’UK, en tant que bénéficiaire direct du projet et autorité contractante, s’engage à :</w:t>
      </w:r>
    </w:p>
    <w:p w14:paraId="6BA7B3F8" w14:textId="22DAD5AA"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Mettre à la disposition du bureau de consulting toutes les données et documents pertinents disponibles, utiles à la réalisation des différentes phases de la mission (statistiques, documents stratégiques, rapports internes, résultats d’enquêtes antérieures, etc.) ;</w:t>
      </w:r>
    </w:p>
    <w:p w14:paraId="1BB0308D" w14:textId="45883758"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Faciliter l’accès du bureau aux établissements universitaires, aux responsables administratifs, aux étudiants et au personnel académique pour la collecte d’informations ;</w:t>
      </w:r>
    </w:p>
    <w:p w14:paraId="514343A6" w14:textId="264EE30B"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Appuyer la mobilisation des parties prenantes internes et externes (centres de recherche, laboratoires, administrations locales, acteurs du développement régional, etc.) ;</w:t>
      </w:r>
    </w:p>
    <w:p w14:paraId="1C871A83" w14:textId="317FCF05"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Valider les différentes étapes de la mission, notamment la méthodologie, les outils de collecte, les documents intermédiaires et finaux ;</w:t>
      </w:r>
    </w:p>
    <w:p w14:paraId="0610D9F4" w14:textId="09DC3FA6"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Assurer le suivi administratif et contractuel de la mission, y compris le contrôle de la conformité des prestations avec les clauses du contrat ;</w:t>
      </w:r>
    </w:p>
    <w:p w14:paraId="4F860842" w14:textId="18D876E6" w:rsidR="00FB1975" w:rsidRP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 xml:space="preserve">Participer activement aux ateliers de validation, de restitution et de planification avec </w:t>
      </w:r>
      <w:r w:rsidRPr="00FB1975">
        <w:rPr>
          <w:rFonts w:asciiTheme="minorHAnsi" w:hAnsiTheme="minorHAnsi" w:cstheme="minorHAnsi"/>
          <w:sz w:val="24"/>
          <w:szCs w:val="24"/>
        </w:rPr>
        <w:lastRenderedPageBreak/>
        <w:t>les consultants.</w:t>
      </w:r>
    </w:p>
    <w:p w14:paraId="63F7A2AB" w14:textId="4DB7EF41"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b/>
          <w:bCs/>
          <w:sz w:val="24"/>
          <w:szCs w:val="24"/>
        </w:rPr>
      </w:pPr>
      <w:r w:rsidRPr="00FB1975">
        <w:rPr>
          <w:rFonts w:asciiTheme="minorHAnsi" w:hAnsiTheme="minorHAnsi" w:cstheme="minorHAnsi"/>
          <w:b/>
          <w:bCs/>
          <w:sz w:val="24"/>
          <w:szCs w:val="24"/>
        </w:rPr>
        <w:t xml:space="preserve">B. Le bureau de </w:t>
      </w:r>
      <w:r w:rsidR="00CB11DD">
        <w:rPr>
          <w:rFonts w:asciiTheme="minorHAnsi" w:hAnsiTheme="minorHAnsi" w:cstheme="minorHAnsi"/>
          <w:b/>
          <w:bCs/>
          <w:sz w:val="24"/>
          <w:szCs w:val="24"/>
        </w:rPr>
        <w:t>formation</w:t>
      </w:r>
      <w:r w:rsidRPr="00FB1975">
        <w:rPr>
          <w:rFonts w:asciiTheme="minorHAnsi" w:hAnsiTheme="minorHAnsi" w:cstheme="minorHAnsi"/>
          <w:b/>
          <w:bCs/>
          <w:sz w:val="24"/>
          <w:szCs w:val="24"/>
        </w:rPr>
        <w:t xml:space="preserve"> sélectionné</w:t>
      </w:r>
    </w:p>
    <w:p w14:paraId="2E285A08" w14:textId="77777777" w:rsidR="00FB1975" w:rsidRPr="00FB1975" w:rsidRDefault="00FB1975" w:rsidP="00AC154C">
      <w:pPr>
        <w:spacing w:line="360" w:lineRule="auto"/>
        <w:rPr>
          <w:rFonts w:asciiTheme="minorHAnsi" w:hAnsiTheme="minorHAnsi" w:cstheme="minorHAnsi"/>
          <w:sz w:val="24"/>
          <w:szCs w:val="24"/>
        </w:rPr>
      </w:pPr>
      <w:r w:rsidRPr="00FB1975">
        <w:rPr>
          <w:rFonts w:asciiTheme="minorHAnsi" w:hAnsiTheme="minorHAnsi" w:cstheme="minorHAnsi"/>
          <w:sz w:val="24"/>
          <w:szCs w:val="24"/>
        </w:rPr>
        <w:t>Le prestataire sélectionné assumera l’entière responsabilité technique, organisationnelle et déontologique de la mission. Il s’engage notamment à :</w:t>
      </w:r>
    </w:p>
    <w:p w14:paraId="5D12AB90" w14:textId="2D564089" w:rsidR="00FB1975" w:rsidRPr="0082433A" w:rsidRDefault="00FB1975" w:rsidP="0082433A">
      <w:pPr>
        <w:pStyle w:val="Paragraphedeliste"/>
        <w:numPr>
          <w:ilvl w:val="0"/>
          <w:numId w:val="62"/>
        </w:numPr>
        <w:spacing w:line="360" w:lineRule="auto"/>
        <w:rPr>
          <w:sz w:val="24"/>
          <w:szCs w:val="24"/>
        </w:rPr>
      </w:pPr>
      <w:r w:rsidRPr="0082433A">
        <w:rPr>
          <w:sz w:val="24"/>
          <w:szCs w:val="24"/>
        </w:rPr>
        <w:t>Exécuter la mission conformément aux TDR, à la méthodologie validée et dans les délais impartis ;</w:t>
      </w:r>
    </w:p>
    <w:p w14:paraId="304C982B"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Mobiliser une équipe qualifiée et expérimentée, dont la composition et les responsabilités sont préalablement définies dans l’offre technique acceptée ;</w:t>
      </w:r>
    </w:p>
    <w:p w14:paraId="05766FD5"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Élaborer et soumettre les livrables aux échéances prévues, en assurant leur qualité et leur conformité ;</w:t>
      </w:r>
    </w:p>
    <w:p w14:paraId="2BACF96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Assurer la coordination interne de l’équipe projet et désigner un chef de mission comme interlocuteur principal avec l’UK ;</w:t>
      </w:r>
    </w:p>
    <w:p w14:paraId="25E9832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Garantir l’objectivité et la neutralité dans le traitement des données, l’analyse des résultats et la formulation des recommandations ;</w:t>
      </w:r>
    </w:p>
    <w:p w14:paraId="0A59E7C9"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Prévoir des mécanismes de concertation, de validation participative et de restitution régulière avec les bénéficiaires et les partenaires du projet ;</w:t>
      </w:r>
    </w:p>
    <w:p w14:paraId="361DB15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Conserver la confidentialité des informations et documents recueillis dans le cadre de la mission.</w:t>
      </w:r>
    </w:p>
    <w:p w14:paraId="2C29D7C3" w14:textId="77777777" w:rsidR="00FB1975" w:rsidRPr="00FB1975" w:rsidRDefault="00FB1975" w:rsidP="00AC154C">
      <w:pPr>
        <w:spacing w:line="360" w:lineRule="auto"/>
        <w:rPr>
          <w:sz w:val="24"/>
          <w:szCs w:val="24"/>
        </w:rPr>
      </w:pPr>
      <w:r w:rsidRPr="00FB1975">
        <w:rPr>
          <w:b/>
          <w:bCs/>
          <w:sz w:val="24"/>
          <w:szCs w:val="24"/>
        </w:rPr>
        <w:t>C. Autres parties prenantes</w:t>
      </w:r>
    </w:p>
    <w:p w14:paraId="5C47164D" w14:textId="77777777" w:rsidR="00FB1975" w:rsidRPr="00FB1975" w:rsidRDefault="00FB1975" w:rsidP="00AC154C">
      <w:pPr>
        <w:spacing w:line="360" w:lineRule="auto"/>
        <w:rPr>
          <w:sz w:val="24"/>
          <w:szCs w:val="24"/>
        </w:rPr>
      </w:pPr>
      <w:r w:rsidRPr="00FB1975">
        <w:rPr>
          <w:sz w:val="24"/>
          <w:szCs w:val="24"/>
        </w:rPr>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mise à disposition de ressources humaines ou logistiques (locaux pour les entretiens, accès aux bases de données régionales, etc.) ;</w:t>
      </w:r>
    </w:p>
    <w:p w14:paraId="6B71D29A"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participation à des réunions de concertation ou des groupes de travail thématiques ;</w:t>
      </w:r>
    </w:p>
    <w:p w14:paraId="08A950B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diffusion des résultats auprès de leurs membres et réseaux ;</w:t>
      </w:r>
    </w:p>
    <w:p w14:paraId="628B20A0"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L’appui à l’identification des parties prenantes clés pour la réussite de la mission.</w:t>
      </w:r>
    </w:p>
    <w:p w14:paraId="5133F3B9" w14:textId="75E89C9D" w:rsidR="00FB1975" w:rsidRPr="00AC154C" w:rsidRDefault="00FB1975" w:rsidP="00AC154C">
      <w:pPr>
        <w:spacing w:line="360" w:lineRule="auto"/>
        <w:rPr>
          <w:sz w:val="24"/>
          <w:szCs w:val="24"/>
        </w:rPr>
      </w:pPr>
      <w:r w:rsidRPr="00FB1975">
        <w:rPr>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Default="007F72A9" w:rsidP="00AC154C">
      <w:pPr>
        <w:pStyle w:val="Titre1"/>
        <w:spacing w:line="360" w:lineRule="auto"/>
        <w:rPr>
          <w:sz w:val="24"/>
          <w:szCs w:val="24"/>
        </w:rPr>
      </w:pPr>
      <w:bookmarkStart w:id="25" w:name="_Toc199170180"/>
      <w:r w:rsidRPr="00AC154C">
        <w:rPr>
          <w:sz w:val="24"/>
          <w:szCs w:val="24"/>
        </w:rPr>
        <w:lastRenderedPageBreak/>
        <w:t>CONFLIT D’INTERET</w:t>
      </w:r>
      <w:bookmarkEnd w:id="25"/>
    </w:p>
    <w:p w14:paraId="534118AC" w14:textId="77777777" w:rsidR="002D537C" w:rsidRPr="002D537C" w:rsidRDefault="002D537C" w:rsidP="002D537C">
      <w:pPr>
        <w:spacing w:line="360" w:lineRule="auto"/>
        <w:rPr>
          <w:sz w:val="24"/>
          <w:szCs w:val="24"/>
        </w:rPr>
      </w:pPr>
      <w:r w:rsidRPr="002D537C">
        <w:rPr>
          <w:sz w:val="24"/>
          <w:szCs w:val="24"/>
        </w:rPr>
        <w:t>Dans le cadre de la présente mission, et conformément aux Directives de la Banque mondiale applicables à la sélection et au recrutement de consultants (notamment les Directives : Sélection 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2D537C" w:rsidRDefault="002D537C" w:rsidP="002D537C">
      <w:pPr>
        <w:spacing w:line="360" w:lineRule="auto"/>
        <w:rPr>
          <w:sz w:val="24"/>
          <w:szCs w:val="24"/>
        </w:rPr>
      </w:pPr>
      <w:r w:rsidRPr="002D537C">
        <w:rPr>
          <w:sz w:val="24"/>
          <w:szCs w:val="24"/>
        </w:rPr>
        <w:t>Un conflit d’intérêt peut survenir dans plusieurs cas de figure, notamment mais non exclusivement :</w:t>
      </w:r>
    </w:p>
    <w:p w14:paraId="0836BF85"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en raison d’activités concurrentes ou multiples : lorsqu’un consultant participe simultanément à plusieurs projets concurrents, ou que ses activités présentes ou futures pourraient compromettre la confidentialité, l’indépendance ou la loyauté de la présente mission.</w:t>
      </w:r>
    </w:p>
    <w:p w14:paraId="5E7CCB39"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2D537C" w:rsidRDefault="002D537C" w:rsidP="002D537C">
      <w:pPr>
        <w:spacing w:line="360" w:lineRule="auto"/>
        <w:rPr>
          <w:sz w:val="24"/>
          <w:szCs w:val="24"/>
        </w:rPr>
      </w:pPr>
      <w:r w:rsidRPr="002D537C">
        <w:rPr>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2D537C" w:rsidRDefault="002D537C" w:rsidP="002D537C">
      <w:pPr>
        <w:spacing w:line="360" w:lineRule="auto"/>
        <w:rPr>
          <w:sz w:val="24"/>
          <w:szCs w:val="24"/>
        </w:rPr>
      </w:pPr>
      <w:r w:rsidRPr="002D537C">
        <w:rPr>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2D537C" w:rsidRDefault="002D537C" w:rsidP="002D537C"/>
    <w:p w14:paraId="4BA02387" w14:textId="415EF60C" w:rsidR="0052059A" w:rsidRPr="00AC154C" w:rsidRDefault="007F72A9" w:rsidP="00AC154C">
      <w:pPr>
        <w:pStyle w:val="Titre1"/>
        <w:spacing w:line="360" w:lineRule="auto"/>
        <w:rPr>
          <w:sz w:val="24"/>
          <w:szCs w:val="24"/>
        </w:rPr>
      </w:pPr>
      <w:bookmarkStart w:id="26" w:name="_Toc199170181"/>
      <w:r w:rsidRPr="00AC154C">
        <w:rPr>
          <w:sz w:val="24"/>
          <w:szCs w:val="24"/>
        </w:rPr>
        <w:lastRenderedPageBreak/>
        <w:t>CONFIDENTIALITE</w:t>
      </w:r>
      <w:bookmarkEnd w:id="26"/>
    </w:p>
    <w:p w14:paraId="3494D5CA" w14:textId="77777777" w:rsidR="00596637" w:rsidRDefault="00596637" w:rsidP="00596637">
      <w:pPr>
        <w:pStyle w:val="NormalWeb"/>
        <w:spacing w:line="360" w:lineRule="auto"/>
        <w:jc w:val="both"/>
        <w:rPr>
          <w:lang w:eastAsia="de-DE"/>
        </w:rPr>
      </w:pPr>
      <w:r>
        <w:rPr>
          <w:lang w:eastAsia="de-DE"/>
        </w:rPr>
        <w:t>La mission qui sera confiée au bureau de consulting sélectionné impliquera un accès privilégié à un ensemble d’informations sensibles, stratégiques ou non-publiques, en lien avec 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Default="00596637" w:rsidP="00596637">
      <w:pPr>
        <w:pStyle w:val="NormalWeb"/>
        <w:spacing w:line="360" w:lineRule="auto"/>
        <w:jc w:val="both"/>
        <w:rPr>
          <w:lang w:eastAsia="de-DE"/>
        </w:rPr>
      </w:pPr>
      <w:r>
        <w:rPr>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Default="00596637" w:rsidP="00596637">
      <w:pPr>
        <w:pStyle w:val="NormalWeb"/>
        <w:spacing w:line="360" w:lineRule="auto"/>
        <w:jc w:val="both"/>
        <w:rPr>
          <w:lang w:eastAsia="de-DE"/>
        </w:rPr>
      </w:pPr>
      <w:r>
        <w:rPr>
          <w:lang w:eastAsia="de-DE"/>
        </w:rPr>
        <w:t>Cette obligation de confidentialité s’applique :</w:t>
      </w:r>
    </w:p>
    <w:p w14:paraId="43AD6A90" w14:textId="683D7812" w:rsidR="00596637" w:rsidRPr="0082433A" w:rsidRDefault="00596637" w:rsidP="0082433A">
      <w:pPr>
        <w:pStyle w:val="Paragraphedeliste"/>
        <w:numPr>
          <w:ilvl w:val="0"/>
          <w:numId w:val="62"/>
        </w:numPr>
        <w:spacing w:line="360" w:lineRule="auto"/>
        <w:rPr>
          <w:sz w:val="24"/>
          <w:szCs w:val="24"/>
        </w:rPr>
      </w:pPr>
      <w:r w:rsidRPr="0082433A">
        <w:rPr>
          <w:sz w:val="24"/>
          <w:szCs w:val="24"/>
        </w:rPr>
        <w:t>À l’ensemble des membres de l’équipe projet désignée par le bureau,</w:t>
      </w:r>
    </w:p>
    <w:p w14:paraId="6EDDFD7C" w14:textId="016CE304" w:rsidR="00596637" w:rsidRPr="0082433A" w:rsidRDefault="00596637" w:rsidP="0082433A">
      <w:pPr>
        <w:pStyle w:val="Paragraphedeliste"/>
        <w:numPr>
          <w:ilvl w:val="0"/>
          <w:numId w:val="62"/>
        </w:numPr>
        <w:spacing w:line="360" w:lineRule="auto"/>
        <w:rPr>
          <w:sz w:val="24"/>
          <w:szCs w:val="24"/>
        </w:rPr>
      </w:pPr>
      <w:r w:rsidRPr="0082433A">
        <w:rPr>
          <w:sz w:val="24"/>
          <w:szCs w:val="24"/>
        </w:rPr>
        <w:t>À tous les collaborateurs internes ou externes, y compris les prestataires associés ou sous-traitants,</w:t>
      </w:r>
    </w:p>
    <w:p w14:paraId="555282D2" w14:textId="47FD8C26" w:rsidR="00596637" w:rsidRPr="0082433A" w:rsidRDefault="00596637" w:rsidP="0082433A">
      <w:pPr>
        <w:pStyle w:val="Paragraphedeliste"/>
        <w:numPr>
          <w:ilvl w:val="0"/>
          <w:numId w:val="62"/>
        </w:numPr>
        <w:spacing w:line="360" w:lineRule="auto"/>
        <w:rPr>
          <w:sz w:val="24"/>
          <w:szCs w:val="24"/>
        </w:rPr>
      </w:pPr>
      <w:r w:rsidRPr="0082433A">
        <w:rPr>
          <w:sz w:val="24"/>
          <w:szCs w:val="24"/>
        </w:rPr>
        <w:t>Pendant toute la durée de la mission,</w:t>
      </w:r>
    </w:p>
    <w:p w14:paraId="59718708" w14:textId="5EBEB669" w:rsidR="00596637" w:rsidRPr="0082433A" w:rsidRDefault="00596637" w:rsidP="0082433A">
      <w:pPr>
        <w:pStyle w:val="Paragraphedeliste"/>
        <w:numPr>
          <w:ilvl w:val="0"/>
          <w:numId w:val="62"/>
        </w:numPr>
        <w:spacing w:line="360" w:lineRule="auto"/>
        <w:rPr>
          <w:sz w:val="24"/>
          <w:szCs w:val="24"/>
        </w:rPr>
      </w:pPr>
      <w:r w:rsidRPr="0082433A">
        <w:rPr>
          <w:sz w:val="24"/>
          <w:szCs w:val="24"/>
        </w:rPr>
        <w:t>Et au-delà de la fin du contrat, pour une période de cinq (5) ans, sauf autorisation écrite expresse de l’Université de Kairouan ou exigence légale contraire.</w:t>
      </w:r>
    </w:p>
    <w:p w14:paraId="73562874" w14:textId="77777777" w:rsidR="00596637" w:rsidRDefault="00596637" w:rsidP="00596637">
      <w:pPr>
        <w:pStyle w:val="NormalWeb"/>
        <w:spacing w:line="360" w:lineRule="auto"/>
        <w:jc w:val="both"/>
        <w:rPr>
          <w:lang w:eastAsia="de-DE"/>
        </w:rPr>
      </w:pPr>
      <w:r>
        <w:rPr>
          <w:lang w:eastAsia="de-DE"/>
        </w:rPr>
        <w:t>En particulier, le consultant ne pourra :</w:t>
      </w:r>
    </w:p>
    <w:p w14:paraId="4B5ACF38" w14:textId="2E2F2C50" w:rsidR="00596637" w:rsidRPr="0082433A" w:rsidRDefault="00596637" w:rsidP="0082433A">
      <w:pPr>
        <w:pStyle w:val="Paragraphedeliste"/>
        <w:numPr>
          <w:ilvl w:val="0"/>
          <w:numId w:val="62"/>
        </w:numPr>
        <w:spacing w:line="360" w:lineRule="auto"/>
        <w:rPr>
          <w:sz w:val="24"/>
          <w:szCs w:val="24"/>
        </w:rPr>
      </w:pPr>
      <w:r w:rsidRPr="0082433A">
        <w:rPr>
          <w:sz w:val="24"/>
          <w:szCs w:val="24"/>
        </w:rPr>
        <w:t>Publier, diffuser, transmettre ou partager à des tiers aucune information issue de la mission, sans l’accord préalable écrit de l’Université de Kairouan,</w:t>
      </w:r>
    </w:p>
    <w:p w14:paraId="75CC7287" w14:textId="0C342877" w:rsidR="00596637" w:rsidRPr="0082433A" w:rsidRDefault="00596637" w:rsidP="0082433A">
      <w:pPr>
        <w:pStyle w:val="Paragraphedeliste"/>
        <w:numPr>
          <w:ilvl w:val="0"/>
          <w:numId w:val="62"/>
        </w:numPr>
        <w:spacing w:line="360" w:lineRule="auto"/>
        <w:rPr>
          <w:sz w:val="24"/>
          <w:szCs w:val="24"/>
        </w:rPr>
      </w:pPr>
      <w:r w:rsidRPr="0082433A">
        <w:rPr>
          <w:sz w:val="24"/>
          <w:szCs w:val="24"/>
        </w:rPr>
        <w:t>Utiliser les informations collectées à des fins autres que celles prévues explicitement dans le cadre contractuel,</w:t>
      </w:r>
    </w:p>
    <w:p w14:paraId="3F52A76B" w14:textId="6DE1CACB" w:rsidR="00596637" w:rsidRPr="0082433A" w:rsidRDefault="00596637" w:rsidP="0082433A">
      <w:pPr>
        <w:pStyle w:val="Paragraphedeliste"/>
        <w:numPr>
          <w:ilvl w:val="0"/>
          <w:numId w:val="62"/>
        </w:numPr>
        <w:spacing w:line="360" w:lineRule="auto"/>
        <w:rPr>
          <w:sz w:val="24"/>
          <w:szCs w:val="24"/>
        </w:rPr>
      </w:pPr>
      <w:r w:rsidRPr="0082433A">
        <w:rPr>
          <w:sz w:val="24"/>
          <w:szCs w:val="24"/>
        </w:rPr>
        <w:t>Exploiter à son propre bénéfice ou à celui de tiers les données obtenues pour des projets ultérieurs ou concurrentiels.</w:t>
      </w:r>
    </w:p>
    <w:p w14:paraId="60ED8FCE" w14:textId="77777777" w:rsidR="00596637" w:rsidRDefault="00596637" w:rsidP="00596637">
      <w:pPr>
        <w:pStyle w:val="NormalWeb"/>
        <w:spacing w:line="360" w:lineRule="auto"/>
        <w:jc w:val="both"/>
        <w:rPr>
          <w:lang w:eastAsia="de-DE"/>
        </w:rPr>
      </w:pPr>
      <w:r>
        <w:rPr>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Default="00596637" w:rsidP="00596637">
      <w:pPr>
        <w:pStyle w:val="NormalWeb"/>
        <w:spacing w:line="360" w:lineRule="auto"/>
        <w:jc w:val="both"/>
        <w:rPr>
          <w:lang w:eastAsia="de-DE"/>
        </w:rPr>
      </w:pPr>
      <w:r>
        <w:rPr>
          <w:lang w:eastAsia="de-DE"/>
        </w:rPr>
        <w:lastRenderedPageBreak/>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82433A" w:rsidRDefault="00596637" w:rsidP="0082433A">
      <w:pPr>
        <w:pStyle w:val="Paragraphedeliste"/>
        <w:numPr>
          <w:ilvl w:val="0"/>
          <w:numId w:val="62"/>
        </w:numPr>
        <w:spacing w:line="360" w:lineRule="auto"/>
        <w:rPr>
          <w:sz w:val="24"/>
          <w:szCs w:val="24"/>
        </w:rPr>
      </w:pPr>
      <w:r w:rsidRPr="0082433A">
        <w:rPr>
          <w:sz w:val="24"/>
          <w:szCs w:val="24"/>
        </w:rPr>
        <w:t>L’usage de supports sécurisés de stockage et de transmission,</w:t>
      </w:r>
    </w:p>
    <w:p w14:paraId="02E1F5D6" w14:textId="1C8B1533" w:rsidR="00596637" w:rsidRPr="0082433A" w:rsidRDefault="00596637" w:rsidP="0082433A">
      <w:pPr>
        <w:pStyle w:val="Paragraphedeliste"/>
        <w:numPr>
          <w:ilvl w:val="0"/>
          <w:numId w:val="62"/>
        </w:numPr>
        <w:spacing w:line="360" w:lineRule="auto"/>
        <w:rPr>
          <w:sz w:val="24"/>
          <w:szCs w:val="24"/>
        </w:rPr>
      </w:pPr>
      <w:r w:rsidRPr="0082433A">
        <w:rPr>
          <w:sz w:val="24"/>
          <w:szCs w:val="24"/>
        </w:rPr>
        <w:t>Le chiffrement des fichiers contenant des informations critiques,</w:t>
      </w:r>
    </w:p>
    <w:p w14:paraId="31A0C89E" w14:textId="3D659CCC" w:rsidR="00596637" w:rsidRPr="0082433A" w:rsidRDefault="00596637" w:rsidP="0082433A">
      <w:pPr>
        <w:pStyle w:val="Paragraphedeliste"/>
        <w:numPr>
          <w:ilvl w:val="0"/>
          <w:numId w:val="62"/>
        </w:numPr>
        <w:spacing w:line="360" w:lineRule="auto"/>
        <w:rPr>
          <w:sz w:val="24"/>
          <w:szCs w:val="24"/>
        </w:rPr>
      </w:pPr>
      <w:r w:rsidRPr="0082433A">
        <w:rPr>
          <w:sz w:val="24"/>
          <w:szCs w:val="24"/>
        </w:rPr>
        <w:t>La limitation des accès aux données aux seules personnes habilitées,</w:t>
      </w:r>
    </w:p>
    <w:p w14:paraId="63CCE9C4" w14:textId="52D81CAD" w:rsidR="0082433A" w:rsidRPr="0082433A" w:rsidRDefault="00596637" w:rsidP="0082433A">
      <w:pPr>
        <w:pStyle w:val="Paragraphedeliste"/>
        <w:numPr>
          <w:ilvl w:val="0"/>
          <w:numId w:val="62"/>
        </w:numPr>
        <w:spacing w:line="360" w:lineRule="auto"/>
        <w:rPr>
          <w:sz w:val="24"/>
          <w:szCs w:val="24"/>
        </w:rPr>
      </w:pPr>
      <w:r w:rsidRPr="0082433A">
        <w:rPr>
          <w:sz w:val="24"/>
          <w:szCs w:val="24"/>
        </w:rPr>
        <w:t>La destruction sécurisée des supports à l’issue de la mission.</w:t>
      </w:r>
    </w:p>
    <w:p w14:paraId="43FCDA59" w14:textId="77777777" w:rsidR="00596637" w:rsidRDefault="00596637" w:rsidP="00596637">
      <w:pPr>
        <w:pStyle w:val="NormalWeb"/>
        <w:spacing w:line="360" w:lineRule="auto"/>
        <w:jc w:val="both"/>
        <w:rPr>
          <w:lang w:eastAsia="de-DE"/>
        </w:rPr>
      </w:pPr>
      <w:r>
        <w:rPr>
          <w:lang w:eastAsia="de-DE"/>
        </w:rPr>
        <w:t>Enfin, dans un esprit de collaboration et de confiance mutuelle, l’UK s’engage également à respecter la confidentialité des éléments relevant du savoir-faire du consultant,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9A5F18">
      <w:pPr>
        <w:pStyle w:val="Titre1"/>
      </w:pPr>
      <w:bookmarkStart w:id="27" w:name="_Toc199170182"/>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shd w:val="clear" w:color="auto" w:fill="auto"/>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roofErr w:type="gramStart"/>
            <w:r w:rsidRPr="005E47E9">
              <w:rPr>
                <w:color w:val="auto"/>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shd w:val="clear" w:color="auto" w:fill="auto"/>
          </w:tcPr>
          <w:p w14:paraId="7AE78413" w14:textId="77777777" w:rsidR="00BC14DF" w:rsidRPr="00FA15D5" w:rsidRDefault="00BC14DF" w:rsidP="001C7473">
            <w:pPr>
              <w:tabs>
                <w:tab w:val="left" w:pos="924"/>
              </w:tabs>
            </w:pPr>
          </w:p>
        </w:tc>
        <w:tc>
          <w:tcPr>
            <w:tcW w:w="2039" w:type="pct"/>
            <w:shd w:val="clear" w:color="auto" w:fill="auto"/>
          </w:tcPr>
          <w:p w14:paraId="1EC2BA3A" w14:textId="77777777" w:rsidR="00BC14DF" w:rsidRPr="00FA15D5" w:rsidRDefault="00BC14DF" w:rsidP="001C7473"/>
        </w:tc>
        <w:tc>
          <w:tcPr>
            <w:tcW w:w="2253" w:type="pct"/>
            <w:shd w:val="clear" w:color="auto" w:fill="auto"/>
          </w:tcPr>
          <w:p w14:paraId="2F6EF726" w14:textId="77777777" w:rsidR="00BC14DF" w:rsidRPr="00FA15D5" w:rsidRDefault="00BC14DF" w:rsidP="001C7473"/>
        </w:tc>
      </w:tr>
      <w:tr w:rsidR="00BC14DF" w:rsidRPr="00505640" w14:paraId="267F1BDE" w14:textId="77777777" w:rsidTr="001C7473">
        <w:trPr>
          <w:cantSplit/>
        </w:trPr>
        <w:tc>
          <w:tcPr>
            <w:tcW w:w="708" w:type="pct"/>
            <w:shd w:val="clear" w:color="auto" w:fill="auto"/>
          </w:tcPr>
          <w:p w14:paraId="20A0CBEC" w14:textId="77777777" w:rsidR="00BC14DF" w:rsidRPr="00FA15D5" w:rsidRDefault="00BC14DF" w:rsidP="001C7473">
            <w:pPr>
              <w:pStyle w:val="Dtails"/>
              <w:rPr>
                <w:lang w:val="fr-FR"/>
              </w:rPr>
            </w:pPr>
          </w:p>
        </w:tc>
        <w:tc>
          <w:tcPr>
            <w:tcW w:w="2039" w:type="pct"/>
            <w:shd w:val="clear" w:color="auto" w:fill="auto"/>
          </w:tcPr>
          <w:p w14:paraId="53BBEDF5" w14:textId="77777777" w:rsidR="00BC14DF" w:rsidRPr="00FA15D5" w:rsidRDefault="00BC14DF" w:rsidP="001C7473">
            <w:pPr>
              <w:pStyle w:val="Dtails"/>
              <w:rPr>
                <w:lang w:val="fr-FR"/>
              </w:rPr>
            </w:pPr>
          </w:p>
        </w:tc>
        <w:tc>
          <w:tcPr>
            <w:tcW w:w="2253" w:type="pct"/>
            <w:shd w:val="clear" w:color="auto" w:fill="auto"/>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shd w:val="clear" w:color="auto" w:fill="auto"/>
          </w:tcPr>
          <w:p w14:paraId="755CDD4D" w14:textId="77777777" w:rsidR="00BC14DF" w:rsidRPr="00FA15D5" w:rsidRDefault="00BC14DF" w:rsidP="001C7473">
            <w:pPr>
              <w:pStyle w:val="Dtails"/>
              <w:rPr>
                <w:lang w:val="fr-FR"/>
              </w:rPr>
            </w:pPr>
          </w:p>
        </w:tc>
        <w:tc>
          <w:tcPr>
            <w:tcW w:w="2039" w:type="pct"/>
            <w:shd w:val="clear" w:color="auto" w:fill="auto"/>
          </w:tcPr>
          <w:p w14:paraId="06A2C205" w14:textId="77777777" w:rsidR="00BC14DF" w:rsidRPr="00FA15D5" w:rsidRDefault="00BC14DF" w:rsidP="001C7473">
            <w:pPr>
              <w:pStyle w:val="Dtails"/>
              <w:rPr>
                <w:lang w:val="fr-FR"/>
              </w:rPr>
            </w:pPr>
          </w:p>
        </w:tc>
        <w:tc>
          <w:tcPr>
            <w:tcW w:w="2253" w:type="pct"/>
            <w:shd w:val="clear" w:color="auto" w:fill="auto"/>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shd w:val="clear" w:color="auto" w:fill="auto"/>
          </w:tcPr>
          <w:p w14:paraId="3FB698D4" w14:textId="77777777" w:rsidR="00BC14DF" w:rsidRPr="00FA15D5" w:rsidRDefault="00BC14DF" w:rsidP="001C7473">
            <w:pPr>
              <w:pStyle w:val="Dtails"/>
              <w:rPr>
                <w:lang w:val="fr-FR"/>
              </w:rPr>
            </w:pPr>
          </w:p>
        </w:tc>
        <w:tc>
          <w:tcPr>
            <w:tcW w:w="2039" w:type="pct"/>
            <w:shd w:val="clear" w:color="auto" w:fill="auto"/>
          </w:tcPr>
          <w:p w14:paraId="5B11CA57" w14:textId="77777777" w:rsidR="00BC14DF" w:rsidRPr="00FA15D5" w:rsidRDefault="00BC14DF" w:rsidP="001C7473">
            <w:pPr>
              <w:pStyle w:val="Dtails"/>
              <w:rPr>
                <w:lang w:val="fr-FR"/>
              </w:rPr>
            </w:pPr>
          </w:p>
        </w:tc>
        <w:tc>
          <w:tcPr>
            <w:tcW w:w="2253" w:type="pct"/>
            <w:shd w:val="clear" w:color="auto" w:fill="auto"/>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shd w:val="clear" w:color="auto" w:fill="auto"/>
          </w:tcPr>
          <w:p w14:paraId="411A3404" w14:textId="77777777" w:rsidR="00BC14DF" w:rsidRPr="00FA15D5" w:rsidRDefault="00BC14DF" w:rsidP="001C7473">
            <w:pPr>
              <w:pStyle w:val="Dtails"/>
              <w:rPr>
                <w:lang w:val="fr-FR"/>
              </w:rPr>
            </w:pPr>
          </w:p>
        </w:tc>
        <w:tc>
          <w:tcPr>
            <w:tcW w:w="2039" w:type="pct"/>
            <w:shd w:val="clear" w:color="auto" w:fill="auto"/>
          </w:tcPr>
          <w:p w14:paraId="254A55DF" w14:textId="77777777" w:rsidR="00BC14DF" w:rsidRPr="00FA15D5" w:rsidRDefault="00BC14DF" w:rsidP="001C7473">
            <w:pPr>
              <w:pStyle w:val="Dtails"/>
              <w:rPr>
                <w:lang w:val="fr-FR"/>
              </w:rPr>
            </w:pPr>
          </w:p>
        </w:tc>
        <w:tc>
          <w:tcPr>
            <w:tcW w:w="2253" w:type="pct"/>
            <w:shd w:val="clear" w:color="auto" w:fill="auto"/>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shd w:val="clear" w:color="auto" w:fill="auto"/>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shd w:val="clear" w:color="auto" w:fill="auto"/>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shd w:val="clear" w:color="auto" w:fill="auto"/>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shd w:val="clear" w:color="auto" w:fill="auto"/>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shd w:val="clear" w:color="auto" w:fill="auto"/>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shd w:val="clear" w:color="auto" w:fill="auto"/>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shd w:val="clear" w:color="auto" w:fill="auto"/>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shd w:val="clear" w:color="auto" w:fill="auto"/>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shd w:val="clear" w:color="auto" w:fill="auto"/>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shd w:val="clear" w:color="auto" w:fill="auto"/>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shd w:val="clear" w:color="auto" w:fill="auto"/>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shd w:val="clear" w:color="auto" w:fill="auto"/>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DA5B" w14:textId="77777777" w:rsidR="00CC31FA" w:rsidRDefault="00CC31FA" w:rsidP="00FB20B3">
      <w:pPr>
        <w:spacing w:line="240" w:lineRule="auto"/>
      </w:pPr>
      <w:r>
        <w:separator/>
      </w:r>
    </w:p>
  </w:endnote>
  <w:endnote w:type="continuationSeparator" w:id="0">
    <w:p w14:paraId="45A73AEA" w14:textId="77777777" w:rsidR="00CC31FA" w:rsidRDefault="00CC31FA"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70C9" w14:textId="77777777" w:rsidR="00CC31FA" w:rsidRDefault="00CC31FA" w:rsidP="00FB20B3">
      <w:pPr>
        <w:spacing w:line="240" w:lineRule="auto"/>
      </w:pPr>
      <w:r>
        <w:separator/>
      </w:r>
    </w:p>
  </w:footnote>
  <w:footnote w:type="continuationSeparator" w:id="0">
    <w:p w14:paraId="4C8E0C8A" w14:textId="77777777" w:rsidR="00CC31FA" w:rsidRDefault="00CC31FA"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77556"/>
    <w:multiLevelType w:val="hybridMultilevel"/>
    <w:tmpl w:val="0E563572"/>
    <w:lvl w:ilvl="0" w:tplc="ACA85CC0">
      <w:start w:val="1"/>
      <w:numFmt w:val="decimal"/>
      <w:pStyle w:val="Titre1"/>
      <w:lvlText w:val="%1."/>
      <w:lvlJc w:val="left"/>
      <w:pPr>
        <w:ind w:left="360"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9"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26"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29"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0"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31"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9"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40"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0"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64"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8"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4"/>
  </w:num>
  <w:num w:numId="3" w16cid:durableId="298532253">
    <w:abstractNumId w:val="59"/>
  </w:num>
  <w:num w:numId="4" w16cid:durableId="12020">
    <w:abstractNumId w:val="44"/>
  </w:num>
  <w:num w:numId="5" w16cid:durableId="420377021">
    <w:abstractNumId w:val="29"/>
  </w:num>
  <w:num w:numId="6" w16cid:durableId="1961258199">
    <w:abstractNumId w:val="38"/>
  </w:num>
  <w:num w:numId="7" w16cid:durableId="1562331614">
    <w:abstractNumId w:val="68"/>
  </w:num>
  <w:num w:numId="8" w16cid:durableId="758058870">
    <w:abstractNumId w:val="64"/>
  </w:num>
  <w:num w:numId="9" w16cid:durableId="375007505">
    <w:abstractNumId w:val="12"/>
  </w:num>
  <w:num w:numId="10" w16cid:durableId="1101146357">
    <w:abstractNumId w:val="17"/>
  </w:num>
  <w:num w:numId="11" w16cid:durableId="251011329">
    <w:abstractNumId w:val="51"/>
  </w:num>
  <w:num w:numId="12" w16cid:durableId="1074669958">
    <w:abstractNumId w:val="60"/>
  </w:num>
  <w:num w:numId="13" w16cid:durableId="237129311">
    <w:abstractNumId w:val="13"/>
  </w:num>
  <w:num w:numId="14" w16cid:durableId="1279263317">
    <w:abstractNumId w:val="57"/>
  </w:num>
  <w:num w:numId="15" w16cid:durableId="1169052750">
    <w:abstractNumId w:val="66"/>
  </w:num>
  <w:num w:numId="16" w16cid:durableId="1204364573">
    <w:abstractNumId w:val="53"/>
  </w:num>
  <w:num w:numId="17" w16cid:durableId="1347168973">
    <w:abstractNumId w:val="54"/>
  </w:num>
  <w:num w:numId="18" w16cid:durableId="1805197283">
    <w:abstractNumId w:val="1"/>
  </w:num>
  <w:num w:numId="19" w16cid:durableId="359935874">
    <w:abstractNumId w:val="16"/>
  </w:num>
  <w:num w:numId="20" w16cid:durableId="996034366">
    <w:abstractNumId w:val="39"/>
  </w:num>
  <w:num w:numId="21" w16cid:durableId="35856636">
    <w:abstractNumId w:val="8"/>
  </w:num>
  <w:num w:numId="22" w16cid:durableId="739522074">
    <w:abstractNumId w:val="24"/>
  </w:num>
  <w:num w:numId="23" w16cid:durableId="1438522854">
    <w:abstractNumId w:val="33"/>
  </w:num>
  <w:num w:numId="24" w16cid:durableId="2046061162">
    <w:abstractNumId w:val="7"/>
  </w:num>
  <w:num w:numId="25" w16cid:durableId="1089810387">
    <w:abstractNumId w:val="22"/>
  </w:num>
  <w:num w:numId="26" w16cid:durableId="336080899">
    <w:abstractNumId w:val="30"/>
  </w:num>
  <w:num w:numId="27" w16cid:durableId="870993232">
    <w:abstractNumId w:val="25"/>
  </w:num>
  <w:num w:numId="28" w16cid:durableId="875432373">
    <w:abstractNumId w:val="28"/>
  </w:num>
  <w:num w:numId="29" w16cid:durableId="68506178">
    <w:abstractNumId w:val="52"/>
  </w:num>
  <w:num w:numId="30" w16cid:durableId="1824277090">
    <w:abstractNumId w:val="36"/>
  </w:num>
  <w:num w:numId="31" w16cid:durableId="1343430220">
    <w:abstractNumId w:val="5"/>
  </w:num>
  <w:num w:numId="32" w16cid:durableId="1117409537">
    <w:abstractNumId w:val="4"/>
  </w:num>
  <w:num w:numId="33" w16cid:durableId="818379060">
    <w:abstractNumId w:val="40"/>
  </w:num>
  <w:num w:numId="34" w16cid:durableId="1085687284">
    <w:abstractNumId w:val="10"/>
  </w:num>
  <w:num w:numId="35" w16cid:durableId="2085911336">
    <w:abstractNumId w:val="58"/>
  </w:num>
  <w:num w:numId="36" w16cid:durableId="53281566">
    <w:abstractNumId w:val="21"/>
  </w:num>
  <w:num w:numId="37" w16cid:durableId="738404072">
    <w:abstractNumId w:val="63"/>
  </w:num>
  <w:num w:numId="38" w16cid:durableId="680085975">
    <w:abstractNumId w:val="43"/>
  </w:num>
  <w:num w:numId="39" w16cid:durableId="1927155210">
    <w:abstractNumId w:val="2"/>
  </w:num>
  <w:num w:numId="40" w16cid:durableId="1847985737">
    <w:abstractNumId w:val="18"/>
  </w:num>
  <w:num w:numId="41" w16cid:durableId="546528502">
    <w:abstractNumId w:val="15"/>
  </w:num>
  <w:num w:numId="42" w16cid:durableId="1460755816">
    <w:abstractNumId w:val="48"/>
  </w:num>
  <w:num w:numId="43" w16cid:durableId="254363650">
    <w:abstractNumId w:val="4"/>
  </w:num>
  <w:num w:numId="44" w16cid:durableId="1312171528">
    <w:abstractNumId w:val="45"/>
  </w:num>
  <w:num w:numId="45" w16cid:durableId="1203444616">
    <w:abstractNumId w:val="11"/>
  </w:num>
  <w:num w:numId="46" w16cid:durableId="1917011002">
    <w:abstractNumId w:val="56"/>
  </w:num>
  <w:num w:numId="47" w16cid:durableId="1157454503">
    <w:abstractNumId w:val="26"/>
  </w:num>
  <w:num w:numId="48" w16cid:durableId="369385188">
    <w:abstractNumId w:val="41"/>
  </w:num>
  <w:num w:numId="49" w16cid:durableId="1995183597">
    <w:abstractNumId w:val="19"/>
  </w:num>
  <w:num w:numId="50" w16cid:durableId="469907683">
    <w:abstractNumId w:val="42"/>
  </w:num>
  <w:num w:numId="51" w16cid:durableId="1040283722">
    <w:abstractNumId w:val="23"/>
  </w:num>
  <w:num w:numId="52" w16cid:durableId="97146606">
    <w:abstractNumId w:val="55"/>
  </w:num>
  <w:num w:numId="53" w16cid:durableId="796752771">
    <w:abstractNumId w:val="62"/>
  </w:num>
  <w:num w:numId="54" w16cid:durableId="2014726449">
    <w:abstractNumId w:val="70"/>
  </w:num>
  <w:num w:numId="55" w16cid:durableId="1171875171">
    <w:abstractNumId w:val="9"/>
  </w:num>
  <w:num w:numId="56" w16cid:durableId="108670293">
    <w:abstractNumId w:val="32"/>
  </w:num>
  <w:num w:numId="57" w16cid:durableId="695034638">
    <w:abstractNumId w:val="37"/>
  </w:num>
  <w:num w:numId="58" w16cid:durableId="547255726">
    <w:abstractNumId w:val="67"/>
  </w:num>
  <w:num w:numId="59" w16cid:durableId="1645507371">
    <w:abstractNumId w:val="3"/>
  </w:num>
  <w:num w:numId="60" w16cid:durableId="1647276106">
    <w:abstractNumId w:val="69"/>
  </w:num>
  <w:num w:numId="61" w16cid:durableId="177742176">
    <w:abstractNumId w:val="20"/>
  </w:num>
  <w:num w:numId="62" w16cid:durableId="1486119638">
    <w:abstractNumId w:val="34"/>
  </w:num>
  <w:num w:numId="63" w16cid:durableId="1916820965">
    <w:abstractNumId w:val="27"/>
  </w:num>
  <w:num w:numId="64" w16cid:durableId="1058479282">
    <w:abstractNumId w:val="61"/>
  </w:num>
  <w:num w:numId="65" w16cid:durableId="607933717">
    <w:abstractNumId w:val="14"/>
  </w:num>
  <w:num w:numId="66" w16cid:durableId="921373259">
    <w:abstractNumId w:val="47"/>
  </w:num>
  <w:num w:numId="67" w16cid:durableId="522481142">
    <w:abstractNumId w:val="46"/>
  </w:num>
  <w:num w:numId="68" w16cid:durableId="1065954208">
    <w:abstractNumId w:val="35"/>
  </w:num>
  <w:num w:numId="69" w16cid:durableId="887181731">
    <w:abstractNumId w:val="6"/>
  </w:num>
  <w:num w:numId="70" w16cid:durableId="310252442">
    <w:abstractNumId w:val="4"/>
  </w:num>
  <w:num w:numId="71" w16cid:durableId="1794245982">
    <w:abstractNumId w:val="31"/>
  </w:num>
  <w:num w:numId="72" w16cid:durableId="1707099041">
    <w:abstractNumId w:val="49"/>
  </w:num>
  <w:num w:numId="73" w16cid:durableId="1180436525">
    <w:abstractNumId w:val="50"/>
  </w:num>
  <w:num w:numId="74" w16cid:durableId="1349672463">
    <w:abstractNumId w:val="65"/>
  </w:num>
  <w:num w:numId="75" w16cid:durableId="86883685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A4F"/>
    <w:rsid w:val="00005C00"/>
    <w:rsid w:val="000103FA"/>
    <w:rsid w:val="00010CF5"/>
    <w:rsid w:val="00010E15"/>
    <w:rsid w:val="00011842"/>
    <w:rsid w:val="000122DC"/>
    <w:rsid w:val="00012EB9"/>
    <w:rsid w:val="00015C80"/>
    <w:rsid w:val="00017D36"/>
    <w:rsid w:val="00020835"/>
    <w:rsid w:val="00025319"/>
    <w:rsid w:val="00025609"/>
    <w:rsid w:val="00025E01"/>
    <w:rsid w:val="00031190"/>
    <w:rsid w:val="00031330"/>
    <w:rsid w:val="000315D2"/>
    <w:rsid w:val="00031616"/>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C4C"/>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E7F"/>
    <w:rsid w:val="002B3FF2"/>
    <w:rsid w:val="002B405A"/>
    <w:rsid w:val="002B4E62"/>
    <w:rsid w:val="002B6B60"/>
    <w:rsid w:val="002B6F08"/>
    <w:rsid w:val="002C2575"/>
    <w:rsid w:val="002C3186"/>
    <w:rsid w:val="002C498E"/>
    <w:rsid w:val="002C53E7"/>
    <w:rsid w:val="002C6456"/>
    <w:rsid w:val="002D0A9B"/>
    <w:rsid w:val="002D1EA7"/>
    <w:rsid w:val="002D269A"/>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161C"/>
    <w:rsid w:val="003721B0"/>
    <w:rsid w:val="003734A3"/>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493E"/>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2456"/>
    <w:rsid w:val="003C304C"/>
    <w:rsid w:val="003C41B3"/>
    <w:rsid w:val="003C4438"/>
    <w:rsid w:val="003C4862"/>
    <w:rsid w:val="003D0926"/>
    <w:rsid w:val="003D13E4"/>
    <w:rsid w:val="003D354C"/>
    <w:rsid w:val="003D4732"/>
    <w:rsid w:val="003D5A63"/>
    <w:rsid w:val="003D5D0D"/>
    <w:rsid w:val="003E153B"/>
    <w:rsid w:val="003E34CC"/>
    <w:rsid w:val="003E6506"/>
    <w:rsid w:val="003E6CE1"/>
    <w:rsid w:val="003E75D6"/>
    <w:rsid w:val="003F0FFD"/>
    <w:rsid w:val="003F368A"/>
    <w:rsid w:val="003F4DE2"/>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32F9"/>
    <w:rsid w:val="00443B33"/>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46C9"/>
    <w:rsid w:val="00476F64"/>
    <w:rsid w:val="00485F6F"/>
    <w:rsid w:val="004866D9"/>
    <w:rsid w:val="004867B9"/>
    <w:rsid w:val="00486B13"/>
    <w:rsid w:val="0048709A"/>
    <w:rsid w:val="004879B0"/>
    <w:rsid w:val="00487D7A"/>
    <w:rsid w:val="00493366"/>
    <w:rsid w:val="00495306"/>
    <w:rsid w:val="00496465"/>
    <w:rsid w:val="00496486"/>
    <w:rsid w:val="00497A70"/>
    <w:rsid w:val="004A2E04"/>
    <w:rsid w:val="004A513C"/>
    <w:rsid w:val="004A5EBB"/>
    <w:rsid w:val="004A6482"/>
    <w:rsid w:val="004B0C56"/>
    <w:rsid w:val="004B2557"/>
    <w:rsid w:val="004B31D5"/>
    <w:rsid w:val="004B3E2C"/>
    <w:rsid w:val="004B4C09"/>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4CFB"/>
    <w:rsid w:val="005B65B7"/>
    <w:rsid w:val="005C12A6"/>
    <w:rsid w:val="005C283A"/>
    <w:rsid w:val="005C38A5"/>
    <w:rsid w:val="005C774D"/>
    <w:rsid w:val="005D13E3"/>
    <w:rsid w:val="005D1797"/>
    <w:rsid w:val="005D3814"/>
    <w:rsid w:val="005D3FF7"/>
    <w:rsid w:val="005D4258"/>
    <w:rsid w:val="005D530B"/>
    <w:rsid w:val="005D5D12"/>
    <w:rsid w:val="005D5D5E"/>
    <w:rsid w:val="005D7D60"/>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6553"/>
    <w:rsid w:val="00746F89"/>
    <w:rsid w:val="0075392A"/>
    <w:rsid w:val="00753DB5"/>
    <w:rsid w:val="0075434C"/>
    <w:rsid w:val="0075450E"/>
    <w:rsid w:val="00754D5B"/>
    <w:rsid w:val="007560C3"/>
    <w:rsid w:val="00756831"/>
    <w:rsid w:val="007572B9"/>
    <w:rsid w:val="007603E5"/>
    <w:rsid w:val="00761070"/>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A26"/>
    <w:rsid w:val="00786A03"/>
    <w:rsid w:val="00787661"/>
    <w:rsid w:val="00787DEE"/>
    <w:rsid w:val="00787FC6"/>
    <w:rsid w:val="007905A4"/>
    <w:rsid w:val="007925CA"/>
    <w:rsid w:val="00792D2E"/>
    <w:rsid w:val="007931B1"/>
    <w:rsid w:val="00793406"/>
    <w:rsid w:val="00795629"/>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158F"/>
    <w:rsid w:val="007B365F"/>
    <w:rsid w:val="007B5735"/>
    <w:rsid w:val="007B5B89"/>
    <w:rsid w:val="007B7B31"/>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3051"/>
    <w:rsid w:val="00813B7D"/>
    <w:rsid w:val="0081497B"/>
    <w:rsid w:val="00815807"/>
    <w:rsid w:val="008215E8"/>
    <w:rsid w:val="0082314B"/>
    <w:rsid w:val="0082433A"/>
    <w:rsid w:val="008243CE"/>
    <w:rsid w:val="00824472"/>
    <w:rsid w:val="0082687D"/>
    <w:rsid w:val="00826CDB"/>
    <w:rsid w:val="00830E89"/>
    <w:rsid w:val="008326CE"/>
    <w:rsid w:val="00833606"/>
    <w:rsid w:val="0083391E"/>
    <w:rsid w:val="0083531B"/>
    <w:rsid w:val="00835823"/>
    <w:rsid w:val="00840CF0"/>
    <w:rsid w:val="00840FBF"/>
    <w:rsid w:val="0084117A"/>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407A"/>
    <w:rsid w:val="00864553"/>
    <w:rsid w:val="00867675"/>
    <w:rsid w:val="00867880"/>
    <w:rsid w:val="0087073D"/>
    <w:rsid w:val="00871C02"/>
    <w:rsid w:val="00872399"/>
    <w:rsid w:val="00872DC9"/>
    <w:rsid w:val="008732E6"/>
    <w:rsid w:val="0087557C"/>
    <w:rsid w:val="00875FAF"/>
    <w:rsid w:val="008800B2"/>
    <w:rsid w:val="00883C7F"/>
    <w:rsid w:val="008842E2"/>
    <w:rsid w:val="00885470"/>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F60"/>
    <w:rsid w:val="008B0923"/>
    <w:rsid w:val="008B23DB"/>
    <w:rsid w:val="008B5326"/>
    <w:rsid w:val="008B5774"/>
    <w:rsid w:val="008B6760"/>
    <w:rsid w:val="008B6ECC"/>
    <w:rsid w:val="008C124A"/>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24501"/>
    <w:rsid w:val="009304DB"/>
    <w:rsid w:val="009313E3"/>
    <w:rsid w:val="009324C6"/>
    <w:rsid w:val="00934D56"/>
    <w:rsid w:val="00936734"/>
    <w:rsid w:val="00936C24"/>
    <w:rsid w:val="00940485"/>
    <w:rsid w:val="009407E1"/>
    <w:rsid w:val="0094593F"/>
    <w:rsid w:val="00945977"/>
    <w:rsid w:val="009462F0"/>
    <w:rsid w:val="0094776C"/>
    <w:rsid w:val="00950191"/>
    <w:rsid w:val="00955901"/>
    <w:rsid w:val="00955A10"/>
    <w:rsid w:val="009564AE"/>
    <w:rsid w:val="00960B36"/>
    <w:rsid w:val="009613CF"/>
    <w:rsid w:val="00961811"/>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D7A83"/>
    <w:rsid w:val="009E0A3B"/>
    <w:rsid w:val="009E0A7A"/>
    <w:rsid w:val="009E0D03"/>
    <w:rsid w:val="009E2F0E"/>
    <w:rsid w:val="009E2FCE"/>
    <w:rsid w:val="009E361F"/>
    <w:rsid w:val="009E41C1"/>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7A59"/>
    <w:rsid w:val="00AD7B14"/>
    <w:rsid w:val="00AE08B0"/>
    <w:rsid w:val="00AE0B3D"/>
    <w:rsid w:val="00AE2461"/>
    <w:rsid w:val="00AE27F1"/>
    <w:rsid w:val="00AE2D66"/>
    <w:rsid w:val="00AE4589"/>
    <w:rsid w:val="00AE4AC6"/>
    <w:rsid w:val="00AE4CBD"/>
    <w:rsid w:val="00AE514B"/>
    <w:rsid w:val="00AE5E1F"/>
    <w:rsid w:val="00AE7377"/>
    <w:rsid w:val="00AF00C1"/>
    <w:rsid w:val="00AF1C91"/>
    <w:rsid w:val="00AF3D70"/>
    <w:rsid w:val="00AF4B6B"/>
    <w:rsid w:val="00AF50EC"/>
    <w:rsid w:val="00B00940"/>
    <w:rsid w:val="00B01E9E"/>
    <w:rsid w:val="00B05B36"/>
    <w:rsid w:val="00B06CB0"/>
    <w:rsid w:val="00B07111"/>
    <w:rsid w:val="00B07C85"/>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412F"/>
    <w:rsid w:val="00B660C9"/>
    <w:rsid w:val="00B66F79"/>
    <w:rsid w:val="00B71592"/>
    <w:rsid w:val="00B71F7D"/>
    <w:rsid w:val="00B7399B"/>
    <w:rsid w:val="00B745B0"/>
    <w:rsid w:val="00B748E6"/>
    <w:rsid w:val="00B75396"/>
    <w:rsid w:val="00B7693A"/>
    <w:rsid w:val="00B76D7A"/>
    <w:rsid w:val="00B823E2"/>
    <w:rsid w:val="00B8306C"/>
    <w:rsid w:val="00B83A3C"/>
    <w:rsid w:val="00B86005"/>
    <w:rsid w:val="00B8638A"/>
    <w:rsid w:val="00B865F8"/>
    <w:rsid w:val="00B900E3"/>
    <w:rsid w:val="00B90B96"/>
    <w:rsid w:val="00B9170C"/>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568F"/>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B0FCC"/>
    <w:rsid w:val="00CB11DD"/>
    <w:rsid w:val="00CB16D1"/>
    <w:rsid w:val="00CB2157"/>
    <w:rsid w:val="00CB21F9"/>
    <w:rsid w:val="00CB71E8"/>
    <w:rsid w:val="00CB7B72"/>
    <w:rsid w:val="00CB7FDE"/>
    <w:rsid w:val="00CC0029"/>
    <w:rsid w:val="00CC08D0"/>
    <w:rsid w:val="00CC173E"/>
    <w:rsid w:val="00CC23AA"/>
    <w:rsid w:val="00CC2DF7"/>
    <w:rsid w:val="00CC31FA"/>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3E8A"/>
    <w:rsid w:val="00CF4498"/>
    <w:rsid w:val="00CF4843"/>
    <w:rsid w:val="00CF58FB"/>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7FEF"/>
    <w:rsid w:val="00DB4E33"/>
    <w:rsid w:val="00DB54C8"/>
    <w:rsid w:val="00DB6235"/>
    <w:rsid w:val="00DB6546"/>
    <w:rsid w:val="00DB7800"/>
    <w:rsid w:val="00DC16D6"/>
    <w:rsid w:val="00DC2BE7"/>
    <w:rsid w:val="00DC2C34"/>
    <w:rsid w:val="00DC3D29"/>
    <w:rsid w:val="00DC522C"/>
    <w:rsid w:val="00DC5D1F"/>
    <w:rsid w:val="00DC71D7"/>
    <w:rsid w:val="00DC77A9"/>
    <w:rsid w:val="00DC7827"/>
    <w:rsid w:val="00DD07F3"/>
    <w:rsid w:val="00DD3C99"/>
    <w:rsid w:val="00DD4C3D"/>
    <w:rsid w:val="00DD7B53"/>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F33"/>
    <w:rsid w:val="00E169E7"/>
    <w:rsid w:val="00E214B6"/>
    <w:rsid w:val="00E21D6B"/>
    <w:rsid w:val="00E21EF5"/>
    <w:rsid w:val="00E220C6"/>
    <w:rsid w:val="00E22A37"/>
    <w:rsid w:val="00E22A45"/>
    <w:rsid w:val="00E22A6F"/>
    <w:rsid w:val="00E23FE1"/>
    <w:rsid w:val="00E25975"/>
    <w:rsid w:val="00E25B51"/>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5038"/>
    <w:rsid w:val="00EB7CEA"/>
    <w:rsid w:val="00EC079D"/>
    <w:rsid w:val="00EC1546"/>
    <w:rsid w:val="00EC3BD9"/>
    <w:rsid w:val="00EC3D0A"/>
    <w:rsid w:val="00EC7268"/>
    <w:rsid w:val="00EC7C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DA"/>
    <w:rsid w:val="00F901D2"/>
    <w:rsid w:val="00F905AD"/>
    <w:rsid w:val="00F911D7"/>
    <w:rsid w:val="00F930B1"/>
    <w:rsid w:val="00F935E4"/>
    <w:rsid w:val="00F956AE"/>
    <w:rsid w:val="00F95A02"/>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9A5F1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A5F1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 w:type="character" w:customStyle="1" w:styleId="overflow-hidden">
    <w:name w:val="overflow-hidden"/>
    <w:basedOn w:val="Policepardfaut"/>
    <w:rsid w:val="00F9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35350844">
      <w:bodyDiv w:val="1"/>
      <w:marLeft w:val="0"/>
      <w:marRight w:val="0"/>
      <w:marTop w:val="0"/>
      <w:marBottom w:val="0"/>
      <w:divBdr>
        <w:top w:val="none" w:sz="0" w:space="0" w:color="auto"/>
        <w:left w:val="none" w:sz="0" w:space="0" w:color="auto"/>
        <w:bottom w:val="none" w:sz="0" w:space="0" w:color="auto"/>
        <w:right w:val="none" w:sz="0" w:space="0" w:color="auto"/>
      </w:divBdr>
      <w:divsChild>
        <w:div w:id="384958961">
          <w:marLeft w:val="0"/>
          <w:marRight w:val="0"/>
          <w:marTop w:val="0"/>
          <w:marBottom w:val="0"/>
          <w:divBdr>
            <w:top w:val="none" w:sz="0" w:space="0" w:color="auto"/>
            <w:left w:val="none" w:sz="0" w:space="0" w:color="auto"/>
            <w:bottom w:val="none" w:sz="0" w:space="0" w:color="auto"/>
            <w:right w:val="none" w:sz="0" w:space="0" w:color="auto"/>
          </w:divBdr>
          <w:divsChild>
            <w:div w:id="116880509">
              <w:marLeft w:val="0"/>
              <w:marRight w:val="0"/>
              <w:marTop w:val="0"/>
              <w:marBottom w:val="0"/>
              <w:divBdr>
                <w:top w:val="none" w:sz="0" w:space="0" w:color="auto"/>
                <w:left w:val="none" w:sz="0" w:space="0" w:color="auto"/>
                <w:bottom w:val="none" w:sz="0" w:space="0" w:color="auto"/>
                <w:right w:val="none" w:sz="0" w:space="0" w:color="auto"/>
              </w:divBdr>
              <w:divsChild>
                <w:div w:id="2096050733">
                  <w:marLeft w:val="0"/>
                  <w:marRight w:val="0"/>
                  <w:marTop w:val="0"/>
                  <w:marBottom w:val="0"/>
                  <w:divBdr>
                    <w:top w:val="none" w:sz="0" w:space="0" w:color="auto"/>
                    <w:left w:val="none" w:sz="0" w:space="0" w:color="auto"/>
                    <w:bottom w:val="none" w:sz="0" w:space="0" w:color="auto"/>
                    <w:right w:val="none" w:sz="0" w:space="0" w:color="auto"/>
                  </w:divBdr>
                  <w:divsChild>
                    <w:div w:id="790244602">
                      <w:marLeft w:val="0"/>
                      <w:marRight w:val="0"/>
                      <w:marTop w:val="0"/>
                      <w:marBottom w:val="0"/>
                      <w:divBdr>
                        <w:top w:val="none" w:sz="0" w:space="0" w:color="auto"/>
                        <w:left w:val="none" w:sz="0" w:space="0" w:color="auto"/>
                        <w:bottom w:val="none" w:sz="0" w:space="0" w:color="auto"/>
                        <w:right w:val="none" w:sz="0" w:space="0" w:color="auto"/>
                      </w:divBdr>
                      <w:divsChild>
                        <w:div w:id="1287854316">
                          <w:marLeft w:val="0"/>
                          <w:marRight w:val="0"/>
                          <w:marTop w:val="0"/>
                          <w:marBottom w:val="0"/>
                          <w:divBdr>
                            <w:top w:val="none" w:sz="0" w:space="0" w:color="auto"/>
                            <w:left w:val="none" w:sz="0" w:space="0" w:color="auto"/>
                            <w:bottom w:val="none" w:sz="0" w:space="0" w:color="auto"/>
                            <w:right w:val="none" w:sz="0" w:space="0" w:color="auto"/>
                          </w:divBdr>
                          <w:divsChild>
                            <w:div w:id="1714882402">
                              <w:marLeft w:val="0"/>
                              <w:marRight w:val="0"/>
                              <w:marTop w:val="0"/>
                              <w:marBottom w:val="0"/>
                              <w:divBdr>
                                <w:top w:val="none" w:sz="0" w:space="0" w:color="auto"/>
                                <w:left w:val="none" w:sz="0" w:space="0" w:color="auto"/>
                                <w:bottom w:val="none" w:sz="0" w:space="0" w:color="auto"/>
                                <w:right w:val="none" w:sz="0" w:space="0" w:color="auto"/>
                              </w:divBdr>
                              <w:divsChild>
                                <w:div w:id="514541018">
                                  <w:marLeft w:val="0"/>
                                  <w:marRight w:val="0"/>
                                  <w:marTop w:val="0"/>
                                  <w:marBottom w:val="0"/>
                                  <w:divBdr>
                                    <w:top w:val="none" w:sz="0" w:space="0" w:color="auto"/>
                                    <w:left w:val="none" w:sz="0" w:space="0" w:color="auto"/>
                                    <w:bottom w:val="none" w:sz="0" w:space="0" w:color="auto"/>
                                    <w:right w:val="none" w:sz="0" w:space="0" w:color="auto"/>
                                  </w:divBdr>
                                  <w:divsChild>
                                    <w:div w:id="184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667">
                          <w:marLeft w:val="0"/>
                          <w:marRight w:val="0"/>
                          <w:marTop w:val="0"/>
                          <w:marBottom w:val="0"/>
                          <w:divBdr>
                            <w:top w:val="none" w:sz="0" w:space="0" w:color="auto"/>
                            <w:left w:val="none" w:sz="0" w:space="0" w:color="auto"/>
                            <w:bottom w:val="none" w:sz="0" w:space="0" w:color="auto"/>
                            <w:right w:val="none" w:sz="0" w:space="0" w:color="auto"/>
                          </w:divBdr>
                          <w:divsChild>
                            <w:div w:id="1589389715">
                              <w:marLeft w:val="0"/>
                              <w:marRight w:val="0"/>
                              <w:marTop w:val="0"/>
                              <w:marBottom w:val="0"/>
                              <w:divBdr>
                                <w:top w:val="none" w:sz="0" w:space="0" w:color="auto"/>
                                <w:left w:val="none" w:sz="0" w:space="0" w:color="auto"/>
                                <w:bottom w:val="none" w:sz="0" w:space="0" w:color="auto"/>
                                <w:right w:val="none" w:sz="0" w:space="0" w:color="auto"/>
                              </w:divBdr>
                              <w:divsChild>
                                <w:div w:id="501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370345233">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682559531">
      <w:bodyDiv w:val="1"/>
      <w:marLeft w:val="0"/>
      <w:marRight w:val="0"/>
      <w:marTop w:val="0"/>
      <w:marBottom w:val="0"/>
      <w:divBdr>
        <w:top w:val="none" w:sz="0" w:space="0" w:color="auto"/>
        <w:left w:val="none" w:sz="0" w:space="0" w:color="auto"/>
        <w:bottom w:val="none" w:sz="0" w:space="0" w:color="auto"/>
        <w:right w:val="none" w:sz="0" w:space="0" w:color="auto"/>
      </w:divBdr>
    </w:div>
    <w:div w:id="694574490">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002122106">
      <w:bodyDiv w:val="1"/>
      <w:marLeft w:val="0"/>
      <w:marRight w:val="0"/>
      <w:marTop w:val="0"/>
      <w:marBottom w:val="0"/>
      <w:divBdr>
        <w:top w:val="none" w:sz="0" w:space="0" w:color="auto"/>
        <w:left w:val="none" w:sz="0" w:space="0" w:color="auto"/>
        <w:bottom w:val="none" w:sz="0" w:space="0" w:color="auto"/>
        <w:right w:val="none" w:sz="0" w:space="0" w:color="auto"/>
      </w:divBdr>
      <w:divsChild>
        <w:div w:id="504175089">
          <w:marLeft w:val="0"/>
          <w:marRight w:val="0"/>
          <w:marTop w:val="0"/>
          <w:marBottom w:val="0"/>
          <w:divBdr>
            <w:top w:val="none" w:sz="0" w:space="0" w:color="auto"/>
            <w:left w:val="none" w:sz="0" w:space="0" w:color="auto"/>
            <w:bottom w:val="none" w:sz="0" w:space="0" w:color="auto"/>
            <w:right w:val="none" w:sz="0" w:space="0" w:color="auto"/>
          </w:divBdr>
          <w:divsChild>
            <w:div w:id="170069798">
              <w:marLeft w:val="0"/>
              <w:marRight w:val="0"/>
              <w:marTop w:val="0"/>
              <w:marBottom w:val="0"/>
              <w:divBdr>
                <w:top w:val="none" w:sz="0" w:space="0" w:color="auto"/>
                <w:left w:val="none" w:sz="0" w:space="0" w:color="auto"/>
                <w:bottom w:val="none" w:sz="0" w:space="0" w:color="auto"/>
                <w:right w:val="none" w:sz="0" w:space="0" w:color="auto"/>
              </w:divBdr>
              <w:divsChild>
                <w:div w:id="592058223">
                  <w:marLeft w:val="0"/>
                  <w:marRight w:val="0"/>
                  <w:marTop w:val="0"/>
                  <w:marBottom w:val="0"/>
                  <w:divBdr>
                    <w:top w:val="none" w:sz="0" w:space="0" w:color="auto"/>
                    <w:left w:val="none" w:sz="0" w:space="0" w:color="auto"/>
                    <w:bottom w:val="none" w:sz="0" w:space="0" w:color="auto"/>
                    <w:right w:val="none" w:sz="0" w:space="0" w:color="auto"/>
                  </w:divBdr>
                  <w:divsChild>
                    <w:div w:id="523321446">
                      <w:marLeft w:val="0"/>
                      <w:marRight w:val="0"/>
                      <w:marTop w:val="0"/>
                      <w:marBottom w:val="0"/>
                      <w:divBdr>
                        <w:top w:val="none" w:sz="0" w:space="0" w:color="auto"/>
                        <w:left w:val="none" w:sz="0" w:space="0" w:color="auto"/>
                        <w:bottom w:val="none" w:sz="0" w:space="0" w:color="auto"/>
                        <w:right w:val="none" w:sz="0" w:space="0" w:color="auto"/>
                      </w:divBdr>
                      <w:divsChild>
                        <w:div w:id="1245913698">
                          <w:marLeft w:val="0"/>
                          <w:marRight w:val="0"/>
                          <w:marTop w:val="0"/>
                          <w:marBottom w:val="0"/>
                          <w:divBdr>
                            <w:top w:val="none" w:sz="0" w:space="0" w:color="auto"/>
                            <w:left w:val="none" w:sz="0" w:space="0" w:color="auto"/>
                            <w:bottom w:val="none" w:sz="0" w:space="0" w:color="auto"/>
                            <w:right w:val="none" w:sz="0" w:space="0" w:color="auto"/>
                          </w:divBdr>
                          <w:divsChild>
                            <w:div w:id="971246785">
                              <w:marLeft w:val="0"/>
                              <w:marRight w:val="0"/>
                              <w:marTop w:val="0"/>
                              <w:marBottom w:val="0"/>
                              <w:divBdr>
                                <w:top w:val="none" w:sz="0" w:space="0" w:color="auto"/>
                                <w:left w:val="none" w:sz="0" w:space="0" w:color="auto"/>
                                <w:bottom w:val="none" w:sz="0" w:space="0" w:color="auto"/>
                                <w:right w:val="none" w:sz="0" w:space="0" w:color="auto"/>
                              </w:divBdr>
                              <w:divsChild>
                                <w:div w:id="1950354768">
                                  <w:marLeft w:val="0"/>
                                  <w:marRight w:val="0"/>
                                  <w:marTop w:val="0"/>
                                  <w:marBottom w:val="0"/>
                                  <w:divBdr>
                                    <w:top w:val="none" w:sz="0" w:space="0" w:color="auto"/>
                                    <w:left w:val="none" w:sz="0" w:space="0" w:color="auto"/>
                                    <w:bottom w:val="none" w:sz="0" w:space="0" w:color="auto"/>
                                    <w:right w:val="none" w:sz="0" w:space="0" w:color="auto"/>
                                  </w:divBdr>
                                  <w:divsChild>
                                    <w:div w:id="19525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3534">
                          <w:marLeft w:val="0"/>
                          <w:marRight w:val="0"/>
                          <w:marTop w:val="0"/>
                          <w:marBottom w:val="0"/>
                          <w:divBdr>
                            <w:top w:val="none" w:sz="0" w:space="0" w:color="auto"/>
                            <w:left w:val="none" w:sz="0" w:space="0" w:color="auto"/>
                            <w:bottom w:val="none" w:sz="0" w:space="0" w:color="auto"/>
                            <w:right w:val="none" w:sz="0" w:space="0" w:color="auto"/>
                          </w:divBdr>
                          <w:divsChild>
                            <w:div w:id="304698185">
                              <w:marLeft w:val="0"/>
                              <w:marRight w:val="0"/>
                              <w:marTop w:val="0"/>
                              <w:marBottom w:val="0"/>
                              <w:divBdr>
                                <w:top w:val="none" w:sz="0" w:space="0" w:color="auto"/>
                                <w:left w:val="none" w:sz="0" w:space="0" w:color="auto"/>
                                <w:bottom w:val="none" w:sz="0" w:space="0" w:color="auto"/>
                                <w:right w:val="none" w:sz="0" w:space="0" w:color="auto"/>
                              </w:divBdr>
                              <w:divsChild>
                                <w:div w:id="5303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04936">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176268424">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446971755">
      <w:bodyDiv w:val="1"/>
      <w:marLeft w:val="0"/>
      <w:marRight w:val="0"/>
      <w:marTop w:val="0"/>
      <w:marBottom w:val="0"/>
      <w:divBdr>
        <w:top w:val="none" w:sz="0" w:space="0" w:color="auto"/>
        <w:left w:val="none" w:sz="0" w:space="0" w:color="auto"/>
        <w:bottom w:val="none" w:sz="0" w:space="0" w:color="auto"/>
        <w:right w:val="none" w:sz="0" w:space="0" w:color="auto"/>
      </w:divBdr>
      <w:divsChild>
        <w:div w:id="1426809191">
          <w:marLeft w:val="0"/>
          <w:marRight w:val="0"/>
          <w:marTop w:val="0"/>
          <w:marBottom w:val="0"/>
          <w:divBdr>
            <w:top w:val="none" w:sz="0" w:space="0" w:color="auto"/>
            <w:left w:val="none" w:sz="0" w:space="0" w:color="auto"/>
            <w:bottom w:val="none" w:sz="0" w:space="0" w:color="auto"/>
            <w:right w:val="none" w:sz="0" w:space="0" w:color="auto"/>
          </w:divBdr>
          <w:divsChild>
            <w:div w:id="1883790098">
              <w:marLeft w:val="0"/>
              <w:marRight w:val="0"/>
              <w:marTop w:val="0"/>
              <w:marBottom w:val="0"/>
              <w:divBdr>
                <w:top w:val="none" w:sz="0" w:space="0" w:color="auto"/>
                <w:left w:val="none" w:sz="0" w:space="0" w:color="auto"/>
                <w:bottom w:val="none" w:sz="0" w:space="0" w:color="auto"/>
                <w:right w:val="none" w:sz="0" w:space="0" w:color="auto"/>
              </w:divBdr>
              <w:divsChild>
                <w:div w:id="1850870811">
                  <w:marLeft w:val="0"/>
                  <w:marRight w:val="0"/>
                  <w:marTop w:val="0"/>
                  <w:marBottom w:val="0"/>
                  <w:divBdr>
                    <w:top w:val="none" w:sz="0" w:space="0" w:color="auto"/>
                    <w:left w:val="none" w:sz="0" w:space="0" w:color="auto"/>
                    <w:bottom w:val="none" w:sz="0" w:space="0" w:color="auto"/>
                    <w:right w:val="none" w:sz="0" w:space="0" w:color="auto"/>
                  </w:divBdr>
                  <w:divsChild>
                    <w:div w:id="197016623">
                      <w:marLeft w:val="0"/>
                      <w:marRight w:val="0"/>
                      <w:marTop w:val="0"/>
                      <w:marBottom w:val="0"/>
                      <w:divBdr>
                        <w:top w:val="none" w:sz="0" w:space="0" w:color="auto"/>
                        <w:left w:val="none" w:sz="0" w:space="0" w:color="auto"/>
                        <w:bottom w:val="none" w:sz="0" w:space="0" w:color="auto"/>
                        <w:right w:val="none" w:sz="0" w:space="0" w:color="auto"/>
                      </w:divBdr>
                      <w:divsChild>
                        <w:div w:id="1884901808">
                          <w:marLeft w:val="0"/>
                          <w:marRight w:val="0"/>
                          <w:marTop w:val="0"/>
                          <w:marBottom w:val="0"/>
                          <w:divBdr>
                            <w:top w:val="none" w:sz="0" w:space="0" w:color="auto"/>
                            <w:left w:val="none" w:sz="0" w:space="0" w:color="auto"/>
                            <w:bottom w:val="none" w:sz="0" w:space="0" w:color="auto"/>
                            <w:right w:val="none" w:sz="0" w:space="0" w:color="auto"/>
                          </w:divBdr>
                          <w:divsChild>
                            <w:div w:id="243146347">
                              <w:marLeft w:val="0"/>
                              <w:marRight w:val="0"/>
                              <w:marTop w:val="0"/>
                              <w:marBottom w:val="0"/>
                              <w:divBdr>
                                <w:top w:val="none" w:sz="0" w:space="0" w:color="auto"/>
                                <w:left w:val="none" w:sz="0" w:space="0" w:color="auto"/>
                                <w:bottom w:val="none" w:sz="0" w:space="0" w:color="auto"/>
                                <w:right w:val="none" w:sz="0" w:space="0" w:color="auto"/>
                              </w:divBdr>
                              <w:divsChild>
                                <w:div w:id="1112045543">
                                  <w:marLeft w:val="0"/>
                                  <w:marRight w:val="0"/>
                                  <w:marTop w:val="0"/>
                                  <w:marBottom w:val="0"/>
                                  <w:divBdr>
                                    <w:top w:val="none" w:sz="0" w:space="0" w:color="auto"/>
                                    <w:left w:val="none" w:sz="0" w:space="0" w:color="auto"/>
                                    <w:bottom w:val="none" w:sz="0" w:space="0" w:color="auto"/>
                                    <w:right w:val="none" w:sz="0" w:space="0" w:color="auto"/>
                                  </w:divBdr>
                                  <w:divsChild>
                                    <w:div w:id="1793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622">
                          <w:marLeft w:val="0"/>
                          <w:marRight w:val="0"/>
                          <w:marTop w:val="0"/>
                          <w:marBottom w:val="0"/>
                          <w:divBdr>
                            <w:top w:val="none" w:sz="0" w:space="0" w:color="auto"/>
                            <w:left w:val="none" w:sz="0" w:space="0" w:color="auto"/>
                            <w:bottom w:val="none" w:sz="0" w:space="0" w:color="auto"/>
                            <w:right w:val="none" w:sz="0" w:space="0" w:color="auto"/>
                          </w:divBdr>
                          <w:divsChild>
                            <w:div w:id="1841039014">
                              <w:marLeft w:val="0"/>
                              <w:marRight w:val="0"/>
                              <w:marTop w:val="0"/>
                              <w:marBottom w:val="0"/>
                              <w:divBdr>
                                <w:top w:val="none" w:sz="0" w:space="0" w:color="auto"/>
                                <w:left w:val="none" w:sz="0" w:space="0" w:color="auto"/>
                                <w:bottom w:val="none" w:sz="0" w:space="0" w:color="auto"/>
                                <w:right w:val="none" w:sz="0" w:space="0" w:color="auto"/>
                              </w:divBdr>
                              <w:divsChild>
                                <w:div w:id="2005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11026723">
      <w:bodyDiv w:val="1"/>
      <w:marLeft w:val="0"/>
      <w:marRight w:val="0"/>
      <w:marTop w:val="0"/>
      <w:marBottom w:val="0"/>
      <w:divBdr>
        <w:top w:val="none" w:sz="0" w:space="0" w:color="auto"/>
        <w:left w:val="none" w:sz="0" w:space="0" w:color="auto"/>
        <w:bottom w:val="none" w:sz="0" w:space="0" w:color="auto"/>
        <w:right w:val="none" w:sz="0" w:space="0" w:color="auto"/>
      </w:divBdr>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 w:id="2102682941">
      <w:bodyDiv w:val="1"/>
      <w:marLeft w:val="0"/>
      <w:marRight w:val="0"/>
      <w:marTop w:val="0"/>
      <w:marBottom w:val="0"/>
      <w:divBdr>
        <w:top w:val="none" w:sz="0" w:space="0" w:color="auto"/>
        <w:left w:val="none" w:sz="0" w:space="0" w:color="auto"/>
        <w:bottom w:val="none" w:sz="0" w:space="0" w:color="auto"/>
        <w:right w:val="none" w:sz="0" w:space="0" w:color="auto"/>
      </w:divBdr>
      <w:divsChild>
        <w:div w:id="124936222">
          <w:marLeft w:val="0"/>
          <w:marRight w:val="0"/>
          <w:marTop w:val="0"/>
          <w:marBottom w:val="0"/>
          <w:divBdr>
            <w:top w:val="none" w:sz="0" w:space="0" w:color="auto"/>
            <w:left w:val="none" w:sz="0" w:space="0" w:color="auto"/>
            <w:bottom w:val="none" w:sz="0" w:space="0" w:color="auto"/>
            <w:right w:val="none" w:sz="0" w:space="0" w:color="auto"/>
          </w:divBdr>
          <w:divsChild>
            <w:div w:id="1062750393">
              <w:marLeft w:val="0"/>
              <w:marRight w:val="0"/>
              <w:marTop w:val="0"/>
              <w:marBottom w:val="0"/>
              <w:divBdr>
                <w:top w:val="none" w:sz="0" w:space="0" w:color="auto"/>
                <w:left w:val="none" w:sz="0" w:space="0" w:color="auto"/>
                <w:bottom w:val="none" w:sz="0" w:space="0" w:color="auto"/>
                <w:right w:val="none" w:sz="0" w:space="0" w:color="auto"/>
              </w:divBdr>
              <w:divsChild>
                <w:div w:id="1739396382">
                  <w:marLeft w:val="0"/>
                  <w:marRight w:val="0"/>
                  <w:marTop w:val="0"/>
                  <w:marBottom w:val="0"/>
                  <w:divBdr>
                    <w:top w:val="none" w:sz="0" w:space="0" w:color="auto"/>
                    <w:left w:val="none" w:sz="0" w:space="0" w:color="auto"/>
                    <w:bottom w:val="none" w:sz="0" w:space="0" w:color="auto"/>
                    <w:right w:val="none" w:sz="0" w:space="0" w:color="auto"/>
                  </w:divBdr>
                  <w:divsChild>
                    <w:div w:id="77094491">
                      <w:marLeft w:val="0"/>
                      <w:marRight w:val="0"/>
                      <w:marTop w:val="0"/>
                      <w:marBottom w:val="0"/>
                      <w:divBdr>
                        <w:top w:val="none" w:sz="0" w:space="0" w:color="auto"/>
                        <w:left w:val="none" w:sz="0" w:space="0" w:color="auto"/>
                        <w:bottom w:val="none" w:sz="0" w:space="0" w:color="auto"/>
                        <w:right w:val="none" w:sz="0" w:space="0" w:color="auto"/>
                      </w:divBdr>
                      <w:divsChild>
                        <w:div w:id="1138258904">
                          <w:marLeft w:val="0"/>
                          <w:marRight w:val="0"/>
                          <w:marTop w:val="0"/>
                          <w:marBottom w:val="0"/>
                          <w:divBdr>
                            <w:top w:val="none" w:sz="0" w:space="0" w:color="auto"/>
                            <w:left w:val="none" w:sz="0" w:space="0" w:color="auto"/>
                            <w:bottom w:val="none" w:sz="0" w:space="0" w:color="auto"/>
                            <w:right w:val="none" w:sz="0" w:space="0" w:color="auto"/>
                          </w:divBdr>
                          <w:divsChild>
                            <w:div w:id="829709273">
                              <w:marLeft w:val="0"/>
                              <w:marRight w:val="0"/>
                              <w:marTop w:val="0"/>
                              <w:marBottom w:val="0"/>
                              <w:divBdr>
                                <w:top w:val="none" w:sz="0" w:space="0" w:color="auto"/>
                                <w:left w:val="none" w:sz="0" w:space="0" w:color="auto"/>
                                <w:bottom w:val="none" w:sz="0" w:space="0" w:color="auto"/>
                                <w:right w:val="none" w:sz="0" w:space="0" w:color="auto"/>
                              </w:divBdr>
                              <w:divsChild>
                                <w:div w:id="858197578">
                                  <w:marLeft w:val="0"/>
                                  <w:marRight w:val="0"/>
                                  <w:marTop w:val="0"/>
                                  <w:marBottom w:val="0"/>
                                  <w:divBdr>
                                    <w:top w:val="none" w:sz="0" w:space="0" w:color="auto"/>
                                    <w:left w:val="none" w:sz="0" w:space="0" w:color="auto"/>
                                    <w:bottom w:val="none" w:sz="0" w:space="0" w:color="auto"/>
                                    <w:right w:val="none" w:sz="0" w:space="0" w:color="auto"/>
                                  </w:divBdr>
                                  <w:divsChild>
                                    <w:div w:id="5140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724">
                          <w:marLeft w:val="0"/>
                          <w:marRight w:val="0"/>
                          <w:marTop w:val="0"/>
                          <w:marBottom w:val="0"/>
                          <w:divBdr>
                            <w:top w:val="none" w:sz="0" w:space="0" w:color="auto"/>
                            <w:left w:val="none" w:sz="0" w:space="0" w:color="auto"/>
                            <w:bottom w:val="none" w:sz="0" w:space="0" w:color="auto"/>
                            <w:right w:val="none" w:sz="0" w:space="0" w:color="auto"/>
                          </w:divBdr>
                          <w:divsChild>
                            <w:div w:id="1789347359">
                              <w:marLeft w:val="0"/>
                              <w:marRight w:val="0"/>
                              <w:marTop w:val="0"/>
                              <w:marBottom w:val="0"/>
                              <w:divBdr>
                                <w:top w:val="none" w:sz="0" w:space="0" w:color="auto"/>
                                <w:left w:val="none" w:sz="0" w:space="0" w:color="auto"/>
                                <w:bottom w:val="none" w:sz="0" w:space="0" w:color="auto"/>
                                <w:right w:val="none" w:sz="0" w:space="0" w:color="auto"/>
                              </w:divBdr>
                              <w:divsChild>
                                <w:div w:id="1537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customXml/itemProps2.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4.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23</Pages>
  <Words>6709</Words>
  <Characters>36903</Characters>
  <Application>Microsoft Office Word</Application>
  <DocSecurity>0</DocSecurity>
  <Lines>307</Lines>
  <Paragraphs>87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207</cp:revision>
  <cp:lastPrinted>2025-04-28T08:14:00Z</cp:lastPrinted>
  <dcterms:created xsi:type="dcterms:W3CDTF">2021-09-26T21:40:00Z</dcterms:created>
  <dcterms:modified xsi:type="dcterms:W3CDTF">2025-06-20T16:39:00Z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