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753" w:rsidRPr="00EF5753" w:rsidRDefault="00EF5753" w:rsidP="00EF5753">
      <w:pPr>
        <w:shd w:val="clear" w:color="auto" w:fill="FFFFFF" w:themeFill="background1"/>
        <w:spacing w:after="0" w:line="240" w:lineRule="atLeast"/>
        <w:textAlignment w:val="baseline"/>
        <w:outlineLvl w:val="1"/>
        <w:rPr>
          <w:rFonts w:ascii="Helvetica" w:eastAsia="Times New Roman" w:hAnsi="Helvetica" w:cs="Helvetica"/>
          <w:b/>
          <w:bCs/>
          <w:sz w:val="60"/>
          <w:szCs w:val="60"/>
          <w:lang w:eastAsia="fr-FR"/>
        </w:rPr>
      </w:pPr>
      <w:r w:rsidRPr="00EF5753">
        <w:rPr>
          <w:rFonts w:ascii="Helvetica" w:eastAsia="Times New Roman" w:hAnsi="Helvetica" w:cs="Helvetica"/>
          <w:b/>
          <w:bCs/>
          <w:sz w:val="60"/>
          <w:szCs w:val="60"/>
          <w:lang w:eastAsia="fr-FR"/>
        </w:rPr>
        <w:t>Exploration du Rapport DIRASA sur la Gouvernance de la Recherche en Tunisie</w:t>
      </w:r>
    </w:p>
    <w:p w:rsidR="00693544" w:rsidRDefault="00EF5753"/>
    <w:p w:rsidR="00EF5753" w:rsidRPr="00EF5753" w:rsidRDefault="00EF5753" w:rsidP="00EF5753">
      <w:pPr>
        <w:shd w:val="clear" w:color="auto" w:fill="FFFFFF"/>
        <w:spacing w:after="0" w:line="432" w:lineRule="atLeast"/>
        <w:textAlignment w:val="baseline"/>
        <w:rPr>
          <w:rFonts w:ascii="Helvetica" w:eastAsia="Times New Roman" w:hAnsi="Helvetica" w:cs="Helvetica"/>
          <w:color w:val="666666"/>
          <w:sz w:val="24"/>
          <w:szCs w:val="24"/>
          <w:lang w:eastAsia="fr-FR"/>
        </w:rPr>
      </w:pPr>
      <w:r w:rsidRPr="00EF5753">
        <w:rPr>
          <w:rFonts w:ascii="Helvetica" w:eastAsia="Times New Roman" w:hAnsi="Helvetica" w:cs="Helvetica"/>
          <w:color w:val="666666"/>
          <w:sz w:val="24"/>
          <w:szCs w:val="24"/>
          <w:lang w:eastAsia="fr-FR"/>
        </w:rPr>
        <w:t>La Tunisie, bien que confrontée à de nombreux défis économiques et sociaux, s’engage résolument à devenir une économie fondée sur la connaissance grâce à des investissements soutenus dans la recherche et le développement (R&amp;D). Le </w:t>
      </w:r>
      <w:r w:rsidRPr="00EF5753">
        <w:rPr>
          <w:rFonts w:ascii="Helvetica" w:eastAsia="Times New Roman" w:hAnsi="Helvetica" w:cs="Helvetica"/>
          <w:b/>
          <w:bCs/>
          <w:color w:val="666666"/>
          <w:sz w:val="24"/>
          <w:szCs w:val="24"/>
          <w:bdr w:val="none" w:sz="0" w:space="0" w:color="auto" w:frame="1"/>
          <w:lang w:eastAsia="fr-FR"/>
        </w:rPr>
        <w:t>Rapport final sur l’État des lieux de la Gouvernance de la Recherche en Tunisie</w:t>
      </w:r>
      <w:r w:rsidRPr="00EF5753">
        <w:rPr>
          <w:rFonts w:ascii="Helvetica" w:eastAsia="Times New Roman" w:hAnsi="Helvetica" w:cs="Helvetica"/>
          <w:color w:val="666666"/>
          <w:sz w:val="24"/>
          <w:szCs w:val="24"/>
          <w:lang w:eastAsia="fr-FR"/>
        </w:rPr>
        <w:t> récemment publié fournit </w:t>
      </w:r>
      <w:r w:rsidRPr="00EF5753">
        <w:rPr>
          <w:rFonts w:ascii="Helvetica" w:eastAsia="Times New Roman" w:hAnsi="Helvetica" w:cs="Helvetica"/>
          <w:b/>
          <w:bCs/>
          <w:color w:val="666666"/>
          <w:sz w:val="24"/>
          <w:szCs w:val="24"/>
          <w:bdr w:val="none" w:sz="0" w:space="0" w:color="auto" w:frame="1"/>
          <w:lang w:eastAsia="fr-FR"/>
        </w:rPr>
        <w:t>une analyse approfondie de l’état actuel de la gouvernance de la recherche dans le pays</w:t>
      </w:r>
      <w:r w:rsidRPr="00EF5753">
        <w:rPr>
          <w:rFonts w:ascii="Helvetica" w:eastAsia="Times New Roman" w:hAnsi="Helvetica" w:cs="Helvetica"/>
          <w:color w:val="666666"/>
          <w:sz w:val="24"/>
          <w:szCs w:val="24"/>
          <w:lang w:eastAsia="fr-FR"/>
        </w:rPr>
        <w:t>, en identifiant à la fois ses réussites et des pistes d’amélioration pour le système.</w:t>
      </w:r>
    </w:p>
    <w:p w:rsidR="00EF5753" w:rsidRPr="00EF5753" w:rsidRDefault="00EF5753" w:rsidP="00EF5753">
      <w:pPr>
        <w:shd w:val="clear" w:color="auto" w:fill="FFFFFF"/>
        <w:spacing w:after="0" w:line="432" w:lineRule="atLeast"/>
        <w:textAlignment w:val="baseline"/>
        <w:rPr>
          <w:rFonts w:ascii="Helvetica" w:eastAsia="Times New Roman" w:hAnsi="Helvetica" w:cs="Helvetica"/>
          <w:color w:val="666666"/>
          <w:sz w:val="24"/>
          <w:szCs w:val="24"/>
          <w:lang w:eastAsia="fr-FR"/>
        </w:rPr>
      </w:pPr>
      <w:r w:rsidRPr="00EF5753">
        <w:rPr>
          <w:rFonts w:ascii="Helvetica" w:eastAsia="Times New Roman" w:hAnsi="Helvetica" w:cs="Helvetica"/>
          <w:color w:val="666666"/>
          <w:sz w:val="24"/>
          <w:szCs w:val="24"/>
          <w:lang w:eastAsia="fr-FR"/>
        </w:rPr>
        <w:t>Depuis la révolution de 2010, la Tunisie a connu des transformations notables, mais reste encore confrontée à des défis majeurs tels que le chômage et les inégalités régionales. Malgré ces obstacles, la production scientifique tunisienne a augmenté de 20 % entre 2019 et 2022, plaçant le pays au 12ème rang mondial en termes de publications scientifiques. Cette progression est le fruit d’une politique ambitieuse qui vise à intégrer les résultats de la recherche dans les secteurs économiques clés, tout en favorisant des collaborations internationales.</w:t>
      </w:r>
    </w:p>
    <w:p w:rsidR="00EF5753" w:rsidRPr="00EF5753" w:rsidRDefault="00EF5753" w:rsidP="00EF5753">
      <w:pPr>
        <w:shd w:val="clear" w:color="auto" w:fill="FFFFFF"/>
        <w:spacing w:after="0" w:line="432" w:lineRule="atLeast"/>
        <w:textAlignment w:val="baseline"/>
        <w:rPr>
          <w:rFonts w:ascii="Helvetica" w:eastAsia="Times New Roman" w:hAnsi="Helvetica" w:cs="Helvetica"/>
          <w:color w:val="666666"/>
          <w:sz w:val="24"/>
          <w:szCs w:val="24"/>
          <w:lang w:eastAsia="fr-FR"/>
        </w:rPr>
      </w:pPr>
      <w:r w:rsidRPr="00EF5753">
        <w:rPr>
          <w:rFonts w:ascii="Helvetica" w:eastAsia="Times New Roman" w:hAnsi="Helvetica" w:cs="Helvetica"/>
          <w:b/>
          <w:bCs/>
          <w:color w:val="666666"/>
          <w:sz w:val="24"/>
          <w:szCs w:val="24"/>
          <w:bdr w:val="none" w:sz="0" w:space="0" w:color="auto" w:frame="1"/>
          <w:lang w:eastAsia="fr-FR"/>
        </w:rPr>
        <w:t>Travail Accompli pour la Production du Rapport</w:t>
      </w:r>
    </w:p>
    <w:p w:rsidR="00EF5753" w:rsidRPr="00EF5753" w:rsidRDefault="00EF5753" w:rsidP="00EF5753">
      <w:pPr>
        <w:shd w:val="clear" w:color="auto" w:fill="FFFFFF"/>
        <w:spacing w:after="0" w:line="432" w:lineRule="atLeast"/>
        <w:textAlignment w:val="baseline"/>
        <w:rPr>
          <w:rFonts w:ascii="Helvetica" w:eastAsia="Times New Roman" w:hAnsi="Helvetica" w:cs="Helvetica"/>
          <w:color w:val="666666"/>
          <w:sz w:val="24"/>
          <w:szCs w:val="24"/>
          <w:lang w:eastAsia="fr-FR"/>
        </w:rPr>
      </w:pPr>
      <w:r w:rsidRPr="00EF5753">
        <w:rPr>
          <w:rFonts w:ascii="Helvetica" w:eastAsia="Times New Roman" w:hAnsi="Helvetica" w:cs="Helvetica"/>
          <w:color w:val="666666"/>
          <w:sz w:val="24"/>
          <w:szCs w:val="24"/>
          <w:lang w:eastAsia="fr-FR"/>
        </w:rPr>
        <w:t>Le travail accompli pour la production du Rapport sur l’État des lieux de la Gouvernance de la Recherche en Tunisie</w:t>
      </w:r>
      <w:r w:rsidRPr="00EF5753">
        <w:rPr>
          <w:rFonts w:ascii="Helvetica" w:eastAsia="Times New Roman" w:hAnsi="Helvetica" w:cs="Helvetica"/>
          <w:b/>
          <w:bCs/>
          <w:color w:val="666666"/>
          <w:sz w:val="24"/>
          <w:szCs w:val="24"/>
          <w:bdr w:val="none" w:sz="0" w:space="0" w:color="auto" w:frame="1"/>
          <w:lang w:eastAsia="fr-FR"/>
        </w:rPr>
        <w:t> </w:t>
      </w:r>
      <w:r w:rsidRPr="00EF5753">
        <w:rPr>
          <w:rFonts w:ascii="Helvetica" w:eastAsia="Times New Roman" w:hAnsi="Helvetica" w:cs="Helvetica"/>
          <w:color w:val="666666"/>
          <w:sz w:val="24"/>
          <w:szCs w:val="24"/>
          <w:lang w:eastAsia="fr-FR"/>
        </w:rPr>
        <w:t>a été rigoureux et complet. Il a impliqué plusieurs étapes clés, notamment :</w:t>
      </w:r>
    </w:p>
    <w:p w:rsidR="00EF5753" w:rsidRPr="00EF5753" w:rsidRDefault="00EF5753" w:rsidP="00EF5753">
      <w:pPr>
        <w:numPr>
          <w:ilvl w:val="0"/>
          <w:numId w:val="1"/>
        </w:numPr>
        <w:spacing w:after="0" w:line="390" w:lineRule="atLeast"/>
        <w:ind w:left="0"/>
        <w:textAlignment w:val="baseline"/>
        <w:rPr>
          <w:rFonts w:ascii="Helvetica" w:eastAsia="Times New Roman" w:hAnsi="Helvetica" w:cs="Helvetica"/>
          <w:color w:val="666666"/>
          <w:sz w:val="24"/>
          <w:szCs w:val="24"/>
          <w:lang w:eastAsia="fr-FR"/>
        </w:rPr>
      </w:pPr>
      <w:r w:rsidRPr="00EF5753">
        <w:rPr>
          <w:rFonts w:ascii="Helvetica" w:eastAsia="Times New Roman" w:hAnsi="Helvetica" w:cs="Helvetica"/>
          <w:color w:val="666666"/>
          <w:sz w:val="24"/>
          <w:szCs w:val="24"/>
          <w:lang w:eastAsia="fr-FR"/>
        </w:rPr>
        <w:t>Recherche et synthèse des références documentaires pertinentes pour la gouvernance de la recherche en Tunisie.</w:t>
      </w:r>
    </w:p>
    <w:p w:rsidR="00EF5753" w:rsidRPr="00EF5753" w:rsidRDefault="00EF5753" w:rsidP="00EF5753">
      <w:pPr>
        <w:numPr>
          <w:ilvl w:val="0"/>
          <w:numId w:val="1"/>
        </w:numPr>
        <w:spacing w:after="0" w:line="390" w:lineRule="atLeast"/>
        <w:ind w:left="0"/>
        <w:textAlignment w:val="baseline"/>
        <w:rPr>
          <w:rFonts w:ascii="Helvetica" w:eastAsia="Times New Roman" w:hAnsi="Helvetica" w:cs="Helvetica"/>
          <w:color w:val="666666"/>
          <w:sz w:val="24"/>
          <w:szCs w:val="24"/>
          <w:lang w:eastAsia="fr-FR"/>
        </w:rPr>
      </w:pPr>
      <w:r w:rsidRPr="00EF5753">
        <w:rPr>
          <w:rFonts w:ascii="Helvetica" w:eastAsia="Times New Roman" w:hAnsi="Helvetica" w:cs="Helvetica"/>
          <w:color w:val="666666"/>
          <w:sz w:val="24"/>
          <w:szCs w:val="24"/>
          <w:lang w:eastAsia="fr-FR"/>
        </w:rPr>
        <w:t>Un travail de </w:t>
      </w:r>
      <w:proofErr w:type="spellStart"/>
      <w:r w:rsidRPr="00EF5753">
        <w:rPr>
          <w:rFonts w:ascii="Helvetica" w:eastAsia="Times New Roman" w:hAnsi="Helvetica" w:cs="Helvetica"/>
          <w:i/>
          <w:iCs/>
          <w:color w:val="666666"/>
          <w:sz w:val="24"/>
          <w:szCs w:val="24"/>
          <w:bdr w:val="none" w:sz="0" w:space="0" w:color="auto" w:frame="1"/>
          <w:lang w:eastAsia="fr-FR"/>
        </w:rPr>
        <w:t>benchmarking</w:t>
      </w:r>
      <w:proofErr w:type="spellEnd"/>
      <w:r w:rsidRPr="00EF5753">
        <w:rPr>
          <w:rFonts w:ascii="Helvetica" w:eastAsia="Times New Roman" w:hAnsi="Helvetica" w:cs="Helvetica"/>
          <w:color w:val="666666"/>
          <w:sz w:val="24"/>
          <w:szCs w:val="24"/>
          <w:lang w:eastAsia="fr-FR"/>
        </w:rPr>
        <w:t>, c’est-à-dire d’évaluation et de comparaison du système tunisien par rapport aux systèmes des partenaires européens du projet DIRASA (France, Italie).</w:t>
      </w:r>
    </w:p>
    <w:p w:rsidR="00EF5753" w:rsidRPr="00EF5753" w:rsidRDefault="00EF5753" w:rsidP="00EF5753">
      <w:pPr>
        <w:numPr>
          <w:ilvl w:val="0"/>
          <w:numId w:val="1"/>
        </w:numPr>
        <w:spacing w:after="0" w:line="390" w:lineRule="atLeast"/>
        <w:ind w:left="0"/>
        <w:textAlignment w:val="baseline"/>
        <w:rPr>
          <w:rFonts w:ascii="Helvetica" w:eastAsia="Times New Roman" w:hAnsi="Helvetica" w:cs="Helvetica"/>
          <w:color w:val="666666"/>
          <w:sz w:val="24"/>
          <w:szCs w:val="24"/>
          <w:lang w:eastAsia="fr-FR"/>
        </w:rPr>
      </w:pPr>
      <w:r w:rsidRPr="00EF5753">
        <w:rPr>
          <w:rFonts w:ascii="Helvetica" w:eastAsia="Times New Roman" w:hAnsi="Helvetica" w:cs="Helvetica"/>
          <w:color w:val="666666"/>
          <w:sz w:val="24"/>
          <w:szCs w:val="24"/>
          <w:lang w:eastAsia="fr-FR"/>
        </w:rPr>
        <w:t>La consultation des universités tunisiennes et des directeurs généraux des structures de gouvernance de la recherche en Tunisie (DGRS, DGVR, CNEARS, ANPR) pour valider les informations et identifier les besoins actuels et futurs de la recherche en Tunisie.</w:t>
      </w:r>
    </w:p>
    <w:p w:rsidR="00EF5753" w:rsidRPr="00EF5753" w:rsidRDefault="00EF5753" w:rsidP="00EF5753">
      <w:pPr>
        <w:shd w:val="clear" w:color="auto" w:fill="FFFFFF"/>
        <w:spacing w:after="0" w:line="432" w:lineRule="atLeast"/>
        <w:textAlignment w:val="baseline"/>
        <w:rPr>
          <w:rFonts w:ascii="Helvetica" w:eastAsia="Times New Roman" w:hAnsi="Helvetica" w:cs="Helvetica"/>
          <w:color w:val="666666"/>
          <w:sz w:val="24"/>
          <w:szCs w:val="24"/>
          <w:lang w:eastAsia="fr-FR"/>
        </w:rPr>
      </w:pPr>
      <w:r w:rsidRPr="00EF5753">
        <w:rPr>
          <w:rFonts w:ascii="Helvetica" w:eastAsia="Times New Roman" w:hAnsi="Helvetica" w:cs="Helvetica"/>
          <w:color w:val="666666"/>
          <w:sz w:val="24"/>
          <w:szCs w:val="24"/>
          <w:lang w:eastAsia="fr-FR"/>
        </w:rPr>
        <w:lastRenderedPageBreak/>
        <w:t>Ces efforts ont permis de </w:t>
      </w:r>
      <w:r w:rsidRPr="00EF5753">
        <w:rPr>
          <w:rFonts w:ascii="Helvetica" w:eastAsia="Times New Roman" w:hAnsi="Helvetica" w:cs="Helvetica"/>
          <w:b/>
          <w:bCs/>
          <w:color w:val="666666"/>
          <w:sz w:val="24"/>
          <w:szCs w:val="24"/>
          <w:bdr w:val="none" w:sz="0" w:space="0" w:color="auto" w:frame="1"/>
          <w:lang w:eastAsia="fr-FR"/>
        </w:rPr>
        <w:t>mettre en lumière les défis et les opportunités pour renforcer la qualité et l’efficacité de la recherche en Tunisie</w:t>
      </w:r>
      <w:r w:rsidRPr="00EF5753">
        <w:rPr>
          <w:rFonts w:ascii="Helvetica" w:eastAsia="Times New Roman" w:hAnsi="Helvetica" w:cs="Helvetica"/>
          <w:color w:val="666666"/>
          <w:sz w:val="24"/>
          <w:szCs w:val="24"/>
          <w:lang w:eastAsia="fr-FR"/>
        </w:rPr>
        <w:t>, offrant ainsi des pistes de réflexion et d’action pour les acteurs impliqués dans le domaine de la recherche.</w:t>
      </w:r>
    </w:p>
    <w:p w:rsidR="00EF5753" w:rsidRPr="00EF5753" w:rsidRDefault="00EF5753" w:rsidP="00EF5753">
      <w:pPr>
        <w:shd w:val="clear" w:color="auto" w:fill="FFFFFF"/>
        <w:spacing w:after="0" w:line="432" w:lineRule="atLeast"/>
        <w:textAlignment w:val="baseline"/>
        <w:rPr>
          <w:rFonts w:ascii="Helvetica" w:eastAsia="Times New Roman" w:hAnsi="Helvetica" w:cs="Helvetica"/>
          <w:color w:val="666666"/>
          <w:sz w:val="24"/>
          <w:szCs w:val="24"/>
          <w:lang w:eastAsia="fr-FR"/>
        </w:rPr>
      </w:pPr>
      <w:r w:rsidRPr="00EF5753">
        <w:rPr>
          <w:rFonts w:ascii="Helvetica" w:eastAsia="Times New Roman" w:hAnsi="Helvetica" w:cs="Helvetica"/>
          <w:color w:val="666666"/>
          <w:sz w:val="24"/>
          <w:szCs w:val="24"/>
          <w:lang w:eastAsia="fr-FR"/>
        </w:rPr>
        <w:t>Les principaux thèmes abordés dans le rapport sont les suivants :</w:t>
      </w:r>
    </w:p>
    <w:p w:rsidR="00EF5753" w:rsidRPr="00EF5753" w:rsidRDefault="00EF5753" w:rsidP="00EF5753">
      <w:pPr>
        <w:numPr>
          <w:ilvl w:val="0"/>
          <w:numId w:val="2"/>
        </w:numPr>
        <w:spacing w:after="0" w:line="390" w:lineRule="atLeast"/>
        <w:ind w:left="0"/>
        <w:textAlignment w:val="baseline"/>
        <w:rPr>
          <w:rFonts w:ascii="Helvetica" w:eastAsia="Times New Roman" w:hAnsi="Helvetica" w:cs="Helvetica"/>
          <w:color w:val="666666"/>
          <w:sz w:val="24"/>
          <w:szCs w:val="24"/>
          <w:lang w:eastAsia="fr-FR"/>
        </w:rPr>
      </w:pPr>
      <w:r w:rsidRPr="00EF5753">
        <w:rPr>
          <w:rFonts w:ascii="Helvetica" w:eastAsia="Times New Roman" w:hAnsi="Helvetica" w:cs="Helvetica"/>
          <w:color w:val="666666"/>
          <w:sz w:val="24"/>
          <w:szCs w:val="24"/>
          <w:lang w:eastAsia="fr-FR"/>
        </w:rPr>
        <w:t>Pilotage et organisation de la recherche</w:t>
      </w:r>
    </w:p>
    <w:p w:rsidR="00EF5753" w:rsidRPr="00EF5753" w:rsidRDefault="00EF5753" w:rsidP="00EF5753">
      <w:pPr>
        <w:numPr>
          <w:ilvl w:val="0"/>
          <w:numId w:val="2"/>
        </w:numPr>
        <w:spacing w:after="0" w:line="390" w:lineRule="atLeast"/>
        <w:ind w:left="0"/>
        <w:textAlignment w:val="baseline"/>
        <w:rPr>
          <w:rFonts w:ascii="Helvetica" w:eastAsia="Times New Roman" w:hAnsi="Helvetica" w:cs="Helvetica"/>
          <w:color w:val="666666"/>
          <w:sz w:val="24"/>
          <w:szCs w:val="24"/>
          <w:lang w:eastAsia="fr-FR"/>
        </w:rPr>
      </w:pPr>
      <w:r w:rsidRPr="00EF5753">
        <w:rPr>
          <w:rFonts w:ascii="Helvetica" w:eastAsia="Times New Roman" w:hAnsi="Helvetica" w:cs="Helvetica"/>
          <w:color w:val="666666"/>
          <w:sz w:val="24"/>
          <w:szCs w:val="24"/>
          <w:lang w:eastAsia="fr-FR"/>
        </w:rPr>
        <w:t>Démocratie de la recherche</w:t>
      </w:r>
    </w:p>
    <w:p w:rsidR="00EF5753" w:rsidRPr="00EF5753" w:rsidRDefault="00EF5753" w:rsidP="00EF5753">
      <w:pPr>
        <w:numPr>
          <w:ilvl w:val="0"/>
          <w:numId w:val="2"/>
        </w:numPr>
        <w:spacing w:after="0" w:line="390" w:lineRule="atLeast"/>
        <w:ind w:left="0"/>
        <w:textAlignment w:val="baseline"/>
        <w:rPr>
          <w:rFonts w:ascii="Helvetica" w:eastAsia="Times New Roman" w:hAnsi="Helvetica" w:cs="Helvetica"/>
          <w:color w:val="666666"/>
          <w:sz w:val="24"/>
          <w:szCs w:val="24"/>
          <w:lang w:eastAsia="fr-FR"/>
        </w:rPr>
      </w:pPr>
      <w:r w:rsidRPr="00EF5753">
        <w:rPr>
          <w:rFonts w:ascii="Helvetica" w:eastAsia="Times New Roman" w:hAnsi="Helvetica" w:cs="Helvetica"/>
          <w:color w:val="666666"/>
          <w:sz w:val="24"/>
          <w:szCs w:val="24"/>
          <w:lang w:eastAsia="fr-FR"/>
        </w:rPr>
        <w:t>Cohérence de la recherche</w:t>
      </w:r>
    </w:p>
    <w:p w:rsidR="00EF5753" w:rsidRPr="00EF5753" w:rsidRDefault="00EF5753" w:rsidP="00EF5753">
      <w:pPr>
        <w:numPr>
          <w:ilvl w:val="0"/>
          <w:numId w:val="2"/>
        </w:numPr>
        <w:spacing w:after="0" w:line="390" w:lineRule="atLeast"/>
        <w:ind w:left="0"/>
        <w:textAlignment w:val="baseline"/>
        <w:rPr>
          <w:rFonts w:ascii="Helvetica" w:eastAsia="Times New Roman" w:hAnsi="Helvetica" w:cs="Helvetica"/>
          <w:color w:val="666666"/>
          <w:sz w:val="24"/>
          <w:szCs w:val="24"/>
          <w:lang w:eastAsia="fr-FR"/>
        </w:rPr>
      </w:pPr>
      <w:r w:rsidRPr="00EF5753">
        <w:rPr>
          <w:rFonts w:ascii="Helvetica" w:eastAsia="Times New Roman" w:hAnsi="Helvetica" w:cs="Helvetica"/>
          <w:color w:val="666666"/>
          <w:sz w:val="24"/>
          <w:szCs w:val="24"/>
          <w:lang w:eastAsia="fr-FR"/>
        </w:rPr>
        <w:t>Efficacité de la recherche</w:t>
      </w:r>
    </w:p>
    <w:p w:rsidR="00EF5753" w:rsidRPr="00EF5753" w:rsidRDefault="00EF5753" w:rsidP="00EF5753">
      <w:pPr>
        <w:shd w:val="clear" w:color="auto" w:fill="FFFFFF"/>
        <w:spacing w:after="0" w:line="432" w:lineRule="atLeast"/>
        <w:textAlignment w:val="baseline"/>
        <w:rPr>
          <w:rFonts w:ascii="Helvetica" w:eastAsia="Times New Roman" w:hAnsi="Helvetica" w:cs="Helvetica"/>
          <w:color w:val="666666"/>
          <w:sz w:val="24"/>
          <w:szCs w:val="24"/>
          <w:lang w:eastAsia="fr-FR"/>
        </w:rPr>
      </w:pPr>
      <w:r w:rsidRPr="00EF5753">
        <w:rPr>
          <w:rFonts w:ascii="Helvetica" w:eastAsia="Times New Roman" w:hAnsi="Helvetica" w:cs="Helvetica"/>
          <w:b/>
          <w:bCs/>
          <w:color w:val="666666"/>
          <w:sz w:val="24"/>
          <w:szCs w:val="24"/>
          <w:bdr w:val="none" w:sz="0" w:space="0" w:color="auto" w:frame="1"/>
          <w:lang w:eastAsia="fr-FR"/>
        </w:rPr>
        <w:t>Défis Identifiés dans le Système de Recherche Tunisien :</w:t>
      </w:r>
    </w:p>
    <w:p w:rsidR="00EF5753" w:rsidRPr="00EF5753" w:rsidRDefault="00EF5753" w:rsidP="00EF5753">
      <w:pPr>
        <w:numPr>
          <w:ilvl w:val="0"/>
          <w:numId w:val="3"/>
        </w:numPr>
        <w:spacing w:after="0" w:line="390" w:lineRule="atLeast"/>
        <w:ind w:left="0"/>
        <w:textAlignment w:val="baseline"/>
        <w:rPr>
          <w:rFonts w:ascii="Helvetica" w:eastAsia="Times New Roman" w:hAnsi="Helvetica" w:cs="Helvetica"/>
          <w:color w:val="666666"/>
          <w:sz w:val="24"/>
          <w:szCs w:val="24"/>
          <w:lang w:eastAsia="fr-FR"/>
        </w:rPr>
      </w:pPr>
      <w:r w:rsidRPr="00EF5753">
        <w:rPr>
          <w:rFonts w:ascii="Helvetica" w:eastAsia="Times New Roman" w:hAnsi="Helvetica" w:cs="Helvetica"/>
          <w:color w:val="666666"/>
          <w:sz w:val="24"/>
          <w:szCs w:val="24"/>
          <w:lang w:eastAsia="fr-FR"/>
        </w:rPr>
        <w:t>La nécessité de professionnaliser la gestion des projets de recherche, de diversifier les sources de financement et d’améliorer l’efficacité de l’utilisation des ressources.</w:t>
      </w:r>
    </w:p>
    <w:p w:rsidR="00EF5753" w:rsidRPr="00EF5753" w:rsidRDefault="00EF5753" w:rsidP="00EF5753">
      <w:pPr>
        <w:numPr>
          <w:ilvl w:val="0"/>
          <w:numId w:val="3"/>
        </w:numPr>
        <w:spacing w:after="0" w:line="390" w:lineRule="atLeast"/>
        <w:ind w:left="0"/>
        <w:textAlignment w:val="baseline"/>
        <w:rPr>
          <w:rFonts w:ascii="Helvetica" w:eastAsia="Times New Roman" w:hAnsi="Helvetica" w:cs="Helvetica"/>
          <w:color w:val="666666"/>
          <w:sz w:val="24"/>
          <w:szCs w:val="24"/>
          <w:lang w:eastAsia="fr-FR"/>
        </w:rPr>
      </w:pPr>
      <w:r w:rsidRPr="00EF5753">
        <w:rPr>
          <w:rFonts w:ascii="Helvetica" w:eastAsia="Times New Roman" w:hAnsi="Helvetica" w:cs="Helvetica"/>
          <w:color w:val="666666"/>
          <w:sz w:val="24"/>
          <w:szCs w:val="24"/>
          <w:lang w:eastAsia="fr-FR"/>
        </w:rPr>
        <w:t>L’importance de renforcer les collaborations entre chercheurs et entre les différentes entités de recherche, pour favoriser l’innovation et la qualité des travaux.</w:t>
      </w:r>
    </w:p>
    <w:p w:rsidR="00EF5753" w:rsidRPr="00EF5753" w:rsidRDefault="00EF5753" w:rsidP="00EF5753">
      <w:pPr>
        <w:numPr>
          <w:ilvl w:val="0"/>
          <w:numId w:val="3"/>
        </w:numPr>
        <w:spacing w:after="0" w:line="390" w:lineRule="atLeast"/>
        <w:ind w:left="0"/>
        <w:textAlignment w:val="baseline"/>
        <w:rPr>
          <w:rFonts w:ascii="Helvetica" w:eastAsia="Times New Roman" w:hAnsi="Helvetica" w:cs="Helvetica"/>
          <w:color w:val="666666"/>
          <w:sz w:val="24"/>
          <w:szCs w:val="24"/>
          <w:lang w:eastAsia="fr-FR"/>
        </w:rPr>
      </w:pPr>
      <w:r w:rsidRPr="00EF5753">
        <w:rPr>
          <w:rFonts w:ascii="Helvetica" w:eastAsia="Times New Roman" w:hAnsi="Helvetica" w:cs="Helvetica"/>
          <w:color w:val="666666"/>
          <w:sz w:val="24"/>
          <w:szCs w:val="24"/>
          <w:lang w:eastAsia="fr-FR"/>
        </w:rPr>
        <w:t>La valorisation de la recherche et son impact sur l’innovation et le développement socio-économique du pays.</w:t>
      </w:r>
    </w:p>
    <w:p w:rsidR="00EF5753" w:rsidRPr="00EF5753" w:rsidRDefault="00EF5753" w:rsidP="00EF5753">
      <w:pPr>
        <w:shd w:val="clear" w:color="auto" w:fill="FFFFFF"/>
        <w:spacing w:after="0" w:line="432" w:lineRule="atLeast"/>
        <w:textAlignment w:val="baseline"/>
        <w:rPr>
          <w:rFonts w:ascii="Helvetica" w:eastAsia="Times New Roman" w:hAnsi="Helvetica" w:cs="Helvetica"/>
          <w:color w:val="666666"/>
          <w:sz w:val="24"/>
          <w:szCs w:val="24"/>
          <w:lang w:eastAsia="fr-FR"/>
        </w:rPr>
      </w:pPr>
      <w:r w:rsidRPr="00EF5753">
        <w:rPr>
          <w:rFonts w:ascii="Helvetica" w:eastAsia="Times New Roman" w:hAnsi="Helvetica" w:cs="Helvetica"/>
          <w:b/>
          <w:bCs/>
          <w:color w:val="666666"/>
          <w:sz w:val="24"/>
          <w:szCs w:val="24"/>
          <w:bdr w:val="none" w:sz="0" w:space="0" w:color="auto" w:frame="1"/>
          <w:lang w:eastAsia="fr-FR"/>
        </w:rPr>
        <w:t>Recommandations pour l’Amélioration de la Recherche en Tunisie :</w:t>
      </w:r>
    </w:p>
    <w:p w:rsidR="00EF5753" w:rsidRPr="00EF5753" w:rsidRDefault="00EF5753" w:rsidP="00EF5753">
      <w:pPr>
        <w:numPr>
          <w:ilvl w:val="0"/>
          <w:numId w:val="4"/>
        </w:numPr>
        <w:spacing w:after="0" w:line="390" w:lineRule="atLeast"/>
        <w:ind w:left="0"/>
        <w:textAlignment w:val="baseline"/>
        <w:rPr>
          <w:rFonts w:ascii="Helvetica" w:eastAsia="Times New Roman" w:hAnsi="Helvetica" w:cs="Helvetica"/>
          <w:color w:val="666666"/>
          <w:sz w:val="24"/>
          <w:szCs w:val="24"/>
          <w:lang w:eastAsia="fr-FR"/>
        </w:rPr>
      </w:pPr>
      <w:r w:rsidRPr="00EF5753">
        <w:rPr>
          <w:rFonts w:ascii="Helvetica" w:eastAsia="Times New Roman" w:hAnsi="Helvetica" w:cs="Helvetica"/>
          <w:color w:val="666666"/>
          <w:sz w:val="24"/>
          <w:szCs w:val="24"/>
          <w:lang w:eastAsia="fr-FR"/>
        </w:rPr>
        <w:t>Mettre l’accent sur la gestion et la qualité des structures de recherche, ainsi que sur leur évaluation.</w:t>
      </w:r>
    </w:p>
    <w:p w:rsidR="00EF5753" w:rsidRPr="00EF5753" w:rsidRDefault="00EF5753" w:rsidP="00EF5753">
      <w:pPr>
        <w:numPr>
          <w:ilvl w:val="0"/>
          <w:numId w:val="4"/>
        </w:numPr>
        <w:spacing w:after="0" w:line="390" w:lineRule="atLeast"/>
        <w:ind w:left="0"/>
        <w:textAlignment w:val="baseline"/>
        <w:rPr>
          <w:rFonts w:ascii="Helvetica" w:eastAsia="Times New Roman" w:hAnsi="Helvetica" w:cs="Helvetica"/>
          <w:color w:val="666666"/>
          <w:sz w:val="24"/>
          <w:szCs w:val="24"/>
          <w:lang w:eastAsia="fr-FR"/>
        </w:rPr>
      </w:pPr>
      <w:r w:rsidRPr="00EF5753">
        <w:rPr>
          <w:rFonts w:ascii="Helvetica" w:eastAsia="Times New Roman" w:hAnsi="Helvetica" w:cs="Helvetica"/>
          <w:color w:val="666666"/>
          <w:sz w:val="24"/>
          <w:szCs w:val="24"/>
          <w:lang w:eastAsia="fr-FR"/>
        </w:rPr>
        <w:t>Renforcer le cadre éthique et les normes des activités de recherche pour garantir la crédibilité et la reconnaissance.</w:t>
      </w:r>
    </w:p>
    <w:p w:rsidR="00EF5753" w:rsidRPr="00EF5753" w:rsidRDefault="00EF5753" w:rsidP="00EF5753">
      <w:pPr>
        <w:numPr>
          <w:ilvl w:val="0"/>
          <w:numId w:val="4"/>
        </w:numPr>
        <w:spacing w:after="0" w:line="390" w:lineRule="atLeast"/>
        <w:ind w:left="0"/>
        <w:textAlignment w:val="baseline"/>
        <w:rPr>
          <w:rFonts w:ascii="Helvetica" w:eastAsia="Times New Roman" w:hAnsi="Helvetica" w:cs="Helvetica"/>
          <w:color w:val="666666"/>
          <w:sz w:val="24"/>
          <w:szCs w:val="24"/>
          <w:lang w:eastAsia="fr-FR"/>
        </w:rPr>
      </w:pPr>
      <w:r w:rsidRPr="00EF5753">
        <w:rPr>
          <w:rFonts w:ascii="Helvetica" w:eastAsia="Times New Roman" w:hAnsi="Helvetica" w:cs="Helvetica"/>
          <w:color w:val="666666"/>
          <w:sz w:val="24"/>
          <w:szCs w:val="24"/>
          <w:lang w:eastAsia="fr-FR"/>
        </w:rPr>
        <w:t>Encourager la recherche appliquée en lien avec les besoins régionaux et socio-économiques.</w:t>
      </w:r>
    </w:p>
    <w:p w:rsidR="00EF5753" w:rsidRPr="00EF5753" w:rsidRDefault="00EF5753" w:rsidP="00EF5753">
      <w:pPr>
        <w:numPr>
          <w:ilvl w:val="0"/>
          <w:numId w:val="4"/>
        </w:numPr>
        <w:spacing w:after="0" w:line="390" w:lineRule="atLeast"/>
        <w:ind w:left="0"/>
        <w:textAlignment w:val="baseline"/>
        <w:rPr>
          <w:rFonts w:ascii="Helvetica" w:eastAsia="Times New Roman" w:hAnsi="Helvetica" w:cs="Helvetica"/>
          <w:color w:val="666666"/>
          <w:sz w:val="24"/>
          <w:szCs w:val="24"/>
          <w:lang w:eastAsia="fr-FR"/>
        </w:rPr>
      </w:pPr>
      <w:r w:rsidRPr="00EF5753">
        <w:rPr>
          <w:rFonts w:ascii="Helvetica" w:eastAsia="Times New Roman" w:hAnsi="Helvetica" w:cs="Helvetica"/>
          <w:color w:val="666666"/>
          <w:sz w:val="24"/>
          <w:szCs w:val="24"/>
          <w:lang w:eastAsia="fr-FR"/>
        </w:rPr>
        <w:t>Développer les collaborations entre chercheurs et les partenariats public-privé pour favoriser l’innovation et la création de réseaux de recherche communs.</w:t>
      </w:r>
    </w:p>
    <w:p w:rsidR="00EF5753" w:rsidRPr="00EF5753" w:rsidRDefault="00EF5753" w:rsidP="00EF5753">
      <w:pPr>
        <w:shd w:val="clear" w:color="auto" w:fill="FFFFFF"/>
        <w:spacing w:after="0" w:line="432" w:lineRule="atLeast"/>
        <w:textAlignment w:val="baseline"/>
        <w:rPr>
          <w:rFonts w:ascii="Helvetica" w:eastAsia="Times New Roman" w:hAnsi="Helvetica" w:cs="Helvetica"/>
          <w:color w:val="666666"/>
          <w:sz w:val="24"/>
          <w:szCs w:val="24"/>
          <w:lang w:eastAsia="fr-FR"/>
        </w:rPr>
      </w:pPr>
      <w:r w:rsidRPr="00EF5753">
        <w:rPr>
          <w:rFonts w:ascii="Helvetica" w:eastAsia="Times New Roman" w:hAnsi="Helvetica" w:cs="Helvetica"/>
          <w:b/>
          <w:bCs/>
          <w:color w:val="666666"/>
          <w:sz w:val="24"/>
          <w:szCs w:val="24"/>
          <w:bdr w:val="none" w:sz="0" w:space="0" w:color="auto" w:frame="1"/>
          <w:lang w:eastAsia="fr-FR"/>
        </w:rPr>
        <w:t>La lecture de ce rapport est essentielle pour comprendre les dynamiques actuelles de la recherche scientifique en Tunisie et les pistes à suivre pour renforcer la compétitivité internationale du pays. </w:t>
      </w:r>
      <w:r w:rsidRPr="00EF5753">
        <w:rPr>
          <w:rFonts w:ascii="Helvetica" w:eastAsia="Times New Roman" w:hAnsi="Helvetica" w:cs="Helvetica"/>
          <w:color w:val="666666"/>
          <w:sz w:val="24"/>
          <w:szCs w:val="24"/>
          <w:lang w:eastAsia="fr-FR"/>
        </w:rPr>
        <w:t>Il constitue une ressource précieuse pour les décideurs politiques tunisiens et tous les acteurs impliqués dans le domaine de la recherche.</w:t>
      </w:r>
    </w:p>
    <w:p w:rsidR="00EF5753" w:rsidRPr="00EF5753" w:rsidRDefault="00EF5753" w:rsidP="00EF5753">
      <w:pPr>
        <w:shd w:val="clear" w:color="auto" w:fill="FFFFFF"/>
        <w:spacing w:after="0" w:line="432" w:lineRule="atLeast"/>
        <w:textAlignment w:val="baseline"/>
        <w:rPr>
          <w:rFonts w:ascii="Helvetica" w:eastAsia="Times New Roman" w:hAnsi="Helvetica" w:cs="Helvetica"/>
          <w:color w:val="666666"/>
          <w:sz w:val="24"/>
          <w:szCs w:val="24"/>
          <w:lang w:eastAsia="fr-FR"/>
        </w:rPr>
      </w:pPr>
      <w:r w:rsidRPr="00EF5753">
        <w:rPr>
          <w:rFonts w:ascii="Helvetica" w:eastAsia="Times New Roman" w:hAnsi="Helvetica" w:cs="Helvetica"/>
          <w:b/>
          <w:bCs/>
          <w:color w:val="666666"/>
          <w:sz w:val="24"/>
          <w:szCs w:val="24"/>
          <w:bdr w:val="none" w:sz="0" w:space="0" w:color="auto" w:frame="1"/>
          <w:lang w:eastAsia="fr-FR"/>
        </w:rPr>
        <w:t>Visitez notre page de </w:t>
      </w:r>
      <w:hyperlink r:id="rId5" w:tgtFrame="_blank" w:history="1">
        <w:r w:rsidRPr="00EF5753">
          <w:rPr>
            <w:rFonts w:ascii="Helvetica" w:eastAsia="Times New Roman" w:hAnsi="Helvetica" w:cs="Helvetica"/>
            <w:b/>
            <w:bCs/>
            <w:color w:val="0000FF"/>
            <w:sz w:val="24"/>
            <w:szCs w:val="24"/>
            <w:u w:val="single"/>
            <w:bdr w:val="none" w:sz="0" w:space="0" w:color="auto" w:frame="1"/>
            <w:lang w:eastAsia="fr-FR"/>
          </w:rPr>
          <w:t>Ressources</w:t>
        </w:r>
      </w:hyperlink>
      <w:r w:rsidRPr="00EF5753">
        <w:rPr>
          <w:rFonts w:ascii="Helvetica" w:eastAsia="Times New Roman" w:hAnsi="Helvetica" w:cs="Helvetica"/>
          <w:b/>
          <w:bCs/>
          <w:color w:val="666666"/>
          <w:sz w:val="24"/>
          <w:szCs w:val="24"/>
          <w:bdr w:val="none" w:sz="0" w:space="0" w:color="auto" w:frame="1"/>
          <w:lang w:eastAsia="fr-FR"/>
        </w:rPr>
        <w:t> pour télécharger le rapport et approfondir nos découvertes. </w:t>
      </w:r>
      <w:r w:rsidRPr="00EF5753">
        <w:rPr>
          <w:rFonts w:ascii="Helvetica" w:eastAsia="Times New Roman" w:hAnsi="Helvetica" w:cs="Helvetica"/>
          <w:color w:val="666666"/>
          <w:sz w:val="24"/>
          <w:szCs w:val="24"/>
          <w:lang w:eastAsia="fr-FR"/>
        </w:rPr>
        <w:t>Si vous souhaitez recevoir le rapport par email, n’hésitez pas à nous contacter à l’adresse e-mail </w:t>
      </w:r>
      <w:hyperlink r:id="rId6" w:tgtFrame="_blank" w:history="1">
        <w:r w:rsidRPr="00EF5753">
          <w:rPr>
            <w:rFonts w:ascii="Helvetica" w:eastAsia="Times New Roman" w:hAnsi="Helvetica" w:cs="Helvetica"/>
            <w:color w:val="0000FF"/>
            <w:sz w:val="24"/>
            <w:szCs w:val="24"/>
            <w:u w:val="single"/>
            <w:bdr w:val="none" w:sz="0" w:space="0" w:color="auto" w:frame="1"/>
            <w:lang w:eastAsia="fr-FR"/>
          </w:rPr>
          <w:t>info@dirasa.eu</w:t>
        </w:r>
      </w:hyperlink>
      <w:r w:rsidRPr="00EF5753">
        <w:rPr>
          <w:rFonts w:ascii="Helvetica" w:eastAsia="Times New Roman" w:hAnsi="Helvetica" w:cs="Helvetica"/>
          <w:color w:val="666666"/>
          <w:sz w:val="24"/>
          <w:szCs w:val="24"/>
          <w:lang w:eastAsia="fr-FR"/>
        </w:rPr>
        <w:t> .</w:t>
      </w:r>
    </w:p>
    <w:p w:rsidR="00EF5753" w:rsidRDefault="00EF5753">
      <w:bookmarkStart w:id="0" w:name="_GoBack"/>
      <w:bookmarkEnd w:id="0"/>
    </w:p>
    <w:sectPr w:rsidR="00EF57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4B7B55"/>
    <w:multiLevelType w:val="multilevel"/>
    <w:tmpl w:val="774E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DE7283"/>
    <w:multiLevelType w:val="multilevel"/>
    <w:tmpl w:val="9CD64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DE7536"/>
    <w:multiLevelType w:val="multilevel"/>
    <w:tmpl w:val="DF54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D41595"/>
    <w:multiLevelType w:val="multilevel"/>
    <w:tmpl w:val="6DFE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753"/>
    <w:rsid w:val="00A92B5C"/>
    <w:rsid w:val="00C86DD2"/>
    <w:rsid w:val="00E25A0F"/>
    <w:rsid w:val="00EF575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ECF0B5-A271-41AA-A724-301265C9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EF575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F5753"/>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EF575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F5753"/>
    <w:rPr>
      <w:b/>
      <w:bCs/>
    </w:rPr>
  </w:style>
  <w:style w:type="character" w:styleId="Accentuation">
    <w:name w:val="Emphasis"/>
    <w:basedOn w:val="Policepardfaut"/>
    <w:uiPriority w:val="20"/>
    <w:qFormat/>
    <w:rsid w:val="00EF5753"/>
    <w:rPr>
      <w:i/>
      <w:iCs/>
    </w:rPr>
  </w:style>
  <w:style w:type="character" w:styleId="Lienhypertexte">
    <w:name w:val="Hyperlink"/>
    <w:basedOn w:val="Policepardfaut"/>
    <w:uiPriority w:val="99"/>
    <w:semiHidden/>
    <w:unhideWhenUsed/>
    <w:rsid w:val="00EF57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74879">
      <w:bodyDiv w:val="1"/>
      <w:marLeft w:val="0"/>
      <w:marRight w:val="0"/>
      <w:marTop w:val="0"/>
      <w:marBottom w:val="0"/>
      <w:divBdr>
        <w:top w:val="none" w:sz="0" w:space="0" w:color="auto"/>
        <w:left w:val="none" w:sz="0" w:space="0" w:color="auto"/>
        <w:bottom w:val="none" w:sz="0" w:space="0" w:color="auto"/>
        <w:right w:val="none" w:sz="0" w:space="0" w:color="auto"/>
      </w:divBdr>
    </w:div>
    <w:div w:id="118155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dirasa.eu" TargetMode="External"/><Relationship Id="rId5" Type="http://schemas.openxmlformats.org/officeDocument/2006/relationships/hyperlink" Target="https://dirasa.eu/ressource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3443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dc:creator>
  <cp:keywords/>
  <dc:description/>
  <cp:lastModifiedBy>Administrateur</cp:lastModifiedBy>
  <cp:revision>1</cp:revision>
  <dcterms:created xsi:type="dcterms:W3CDTF">2024-10-21T12:26:00Z</dcterms:created>
  <dcterms:modified xsi:type="dcterms:W3CDTF">2024-10-21T12:27:00Z</dcterms:modified>
</cp:coreProperties>
</file>